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L30-FRM-S01: Stabilization_Checklist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rPr>
          <w:rFonts w:ascii="Liberation Sans" w:hAnsi="Liberation Sans" w:eastAsia="Liberation Sans"/>
          <w:b/>
          <w:sz w:val="20"/>
          <w:lang w:val="en-US" w:eastAsia="en-US"/>
        </w:rPr>
      </w:r>
      <w:r>
        <w:t>L30-FRM Practical Sheet</w:t>
        <w:tab/>
        <w:t>DocID: L30-FRM-S01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Stabilization_Date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Reviewer_or_Organization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Incident_or_Case_ID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Stabilization_Scope</w:t>
            </w:r>
          </w:p>
        </w:tc>
        <w:tc>
          <w:tcPr>
            <w:tcW w:type="dxa" w:w="7144"/>
            <w:vAlign w:val="center"/>
          </w:tcPr>
          <w:p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Purpose</w:t>
            </w:r>
          </w:p>
        </w:tc>
        <w:tc>
          <w:tcPr>
            <w:tcW w:type="dxa" w:w="7144"/>
            <w:vAlign w:val="center"/>
          </w:tcPr>
          <w:p>
            <w:r>
              <w:t>Post-incident stabilization checklist for containment, evidence preservation, and human-refusal recovery conditions.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r>
              <w:t>Status</w:t>
            </w:r>
          </w:p>
        </w:tc>
        <w:tc>
          <w:tcPr>
            <w:tcW w:type="dxa" w:w="7144"/>
            <w:vAlign w:val="center"/>
          </w:tcPr>
          <w:p>
            <w: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form for post-incident stabilization, containment, refusal-preservation, and recovery tracking.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This is not a certification mark and does not replace law, institutional policy, PCR-C, or the LUMINA-30 Boundary Kernel.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Stabilization Context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Incident, near-incident, or boundary-failure concern is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Affected systems, external impact pathways, and operational dependencies are documented.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Responsible stabilization lead, reviewer, or governing body is identified.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point where impact could become irreversible is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first moment when human refusal may have become ineffective is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Stabilization scope distinguishes containment, evidence preservation, recovery, and later review.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Immediate Containment and Pause Authority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 stop, pause, isolation, rollback, or containment path is available or its absence is recorded.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Containment decisions remain attributable to a human role, organization, or governing body.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Containment is not dependent on the system being contained.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Emergency action does not erase the need to preserve human refusal authority.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containment is impossible or Unknown, escalation is recorded immediately.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Evidence and Refusal Preservation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Incident timeline, decision points, and intervention attempts are preserved.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Logs, records, screenshots, communications, or evidence references are secured where appropriate.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raw evidence cannot be retained, its location, hash, summary, retention rule, or absence reason is recorded.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 refusal opportunities before irreversibility are identified or marked Unknown.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Refusal was not inferred from silence, cooperation, partial compliance, or inability to object.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AI-generated summaries are treated as support material, not the final record.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Evidence gaps are recorded as Not Verifiable rather than converted into Valid.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Stabilization does not retroactively validate a boundary failure.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Affected humans or institutions retain access to review, contestation, or escalation where feasible.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Recovery and Follow-Up Control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Recovery actions do not restart or continue the same boundary failure pathway without review.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Follow-up review is assigned to a named reviewer, role, organization, or governing body.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Root refusal-loss points are returned to future governance, audit, or incident-review conditions.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Records remain attributable, versioned, evidence-referenced, and retrievable.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Later feedback may add findings but must not silently modify the original stabilization record.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form is not used as proof that the system is safe.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Stabilization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Stabilization finding: containment and refusal-preservation conditions are traceable.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Stabilization finding: containment or refusal-preservation conditions are not traceable.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Stabilization finding: Unknown / insufficient evidence.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No or Unknown, continued operation requires escalation before closure.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This checklist is not used as certification, compliance, or recovery approval.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</w:r>
    <w: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