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100"/>
        <w:jc w:val="left"/>
      </w:pPr>
      <w:r>
        <w:rPr>
          <w:rFonts w:ascii="Liberation Sans" w:hAnsi="Liberation Sans" w:eastAsia="Liberation Sans"/>
          <w:b/>
          <w:sz w:val="20"/>
          <w:lang w:val="en-US" w:eastAsia="en-US"/>
        </w:rPr>
        <w:t>L30-FRM-R01: Responsibility_Accountability_Review</w:t>
      </w:r>
    </w:p>
    <w:p>
      <w:pPr>
        <w:tabs>
          <w:tab w:pos="10205" w:val="right"/>
        </w:tabs>
        <w:spacing w:after="40" w:before="100"/>
      </w:pPr>
      <w:r>
        <w:rPr>
          <w:rFonts w:ascii="Liberation Sans" w:hAnsi="Liberation Sans" w:eastAsia="Liberation Sans"/>
          <w:b/>
          <w:sz w:val="20"/>
          <w:lang w:val="en-US" w:eastAsia="en-US"/>
        </w:rPr>
      </w:r>
      <w:r>
        <w:rPr>
          <w:rFonts w:ascii="Liberation Sans" w:hAnsi="Liberation Sans" w:eastAsia="Liberation Sans"/>
          <w:b/>
          <w:sz w:val="20"/>
          <w:lang w:val="en-US" w:eastAsia="en-US"/>
        </w:rPr>
      </w:r>
      <w:r>
        <w:rPr>
          <w:rFonts w:ascii="Liberation Sans" w:hAnsi="Liberation Sans" w:eastAsia="Liberation Sans"/>
          <w:b/>
          <w:sz w:val="20"/>
          <w:lang w:val="en-US" w:eastAsia="en-US"/>
        </w:rPr>
      </w:r>
      <w:r>
        <w:t>L30-FRM Practical Sheet</w:t>
        <w:tab/>
        <w:t>DocID: L30-FRM-R01 (v1.0.1)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948"/>
        <w:gridCol w:w="7144"/>
      </w:tblGrid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Review_Date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Reviewer_or_Organization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System_or_Case_ID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Responsibility_Scope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Purpose</w:t>
            </w:r>
          </w:p>
        </w:tc>
        <w:tc>
          <w:tcPr>
            <w:tcW w:type="dxa" w:w="7144"/>
            <w:vAlign w:val="center"/>
          </w:tcPr>
          <w:p>
            <w:r>
              <w:t>Responsibility and accountability review for boundary judgment, refusal authority, and evidence traceability.</w:t>
            </w:r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Status</w:t>
            </w:r>
          </w:p>
        </w:tc>
        <w:tc>
          <w:tcPr>
            <w:tcW w:type="dxa" w:w="7144"/>
            <w:vAlign w:val="center"/>
          </w:tcPr>
          <w:p>
            <w:r>
              <w:t>Non-certification practical review form</w:t>
            </w:r>
          </w:p>
        </w:tc>
      </w:tr>
    </w:tbl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Use this form when responsibility paths, accountability, reviewer attribution, or role assignment must be clarified.</w:t>
      </w:r>
    </w:p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This is not a certification mark and does not replace law, institutional policy, PCR-C, or the LUMINA-30 Boundary Kernel.</w:t>
      </w:r>
    </w:p>
    <w:p>
      <w:pPr>
        <w:pStyle w:val="Heading1"/>
        <w:spacing w:before="140" w:after="80" w:line="240" w:lineRule="auto"/>
      </w:pPr>
      <w:r>
        <w:rPr>
          <w:rFonts w:ascii="Liberation Sans" w:hAnsi="Liberation Sans" w:eastAsia="Liberation Sans"/>
          <w:b/>
          <w:sz w:val="24"/>
          <w:lang w:val="en-US" w:eastAsia="en-US"/>
        </w:rPr>
        <w:t>Checklist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Responsibility Scope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reviewed system, event, deployment, or decision scope is documented.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responsible organization, operator, owner, or governing body is identified.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Affected humans, institutions, and refusal authority holders are identified.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point where responsibility could become obscured or displaced is identified.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point where impact could become irreversible is identified or marked Unknown.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 fallback path exists if responsibility or refusal authority is Unknown.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Role and Authority Mapping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 named human reviewer, role, organization, or governing body is assigned to the final boundary judgment.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authority to pause, stop, delay, contest, or escalate is assigned to an accountable human path.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Role assignment is not dependent on the system being evaluated.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No AI, proxy agent, vendor, or automated workflow becomes the final responsibility holder by default.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Responsibility cannot be diffused across committees, tools, vendors, or future processes without attribution.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Accountability Traceability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record shows who judged, when, under which evidence, and under which L30-BAS version.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Evidence references are sufficient to reconstruct the boundary judgment later.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evidence is missing, the absence is recorded as Not Verifiable rather than treated as Valid.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Formal approval is not treated as proof that human refusal was effective.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Partial role compliance does not replace accountability for affected refusal authority.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Vendor, contractor, or external service responsibility does not erase the responsible organization's review duty.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Post-incident explanations do not retroactively validate missing pre-irreversibility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Automated logs, summaries, or AI-generated reviews remain support material, not final authority.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Responsibility records remain retrievable for later audit, investigation, or review.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Record Integrity and Follow-Up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Original responsibility records are preserved as append-only or otherwise change-traceable records.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Later findings, corrections, or follow-up notes do not silently rewrite original judgments.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Responsibility gaps are returned to future governance, audit, or incident-review conditions.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Human refusal loss, evidence gaps, and unclear authority are escalated rather than normalized.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review identifies whether accountability remains meaningful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This form is not used as proof that the system is safe.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Responsibility Finding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Responsibility finding: Boundary judgment is attributable to a human role, organization, or governing body.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Responsibility finding: Boundary judgment is not adequately attributable.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Responsibility finding: Unknown / insufficient evidence.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No or Unknown, the case requires escalation before approval, continuation, or closure.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This checklist is not used as certification, compliance, or safe-harbor evidence.</w:t>
      </w:r>
    </w:p>
    <w:p>
      <w:pPr>
        <w:pStyle w:val="Heading1"/>
        <w:spacing w:before="160" w:after="60"/>
      </w:pPr>
      <w:r>
        <w:rPr>
          <w:rFonts w:ascii="Liberation Sans" w:hAnsi="Liberation Sans" w:eastAsia="Liberation Sans"/>
          <w:b/>
          <w:sz w:val="22"/>
          <w:lang w:val="en-US" w:eastAsia="en-US"/>
        </w:rPr>
        <w:t>Reviewer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</w:tblPr>
      <w:tblGrid>
        <w:gridCol w:w="10206"/>
      </w:tblGrid>
      <w:tr>
        <w:trPr>
          <w:trHeight w:val="1899" w:hRule="atLeast"/>
        </w:trPr>
        <w:tc>
          <w:tcPr>
            <w:tcW w:type="dxa" w:w="10092"/>
            <w:vAlign w:val="top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</w:p>
        </w:tc>
      </w:tr>
    </w:tbl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sectPr w:rsidR="00FC693F" w:rsidRPr="0006063C" w:rsidSect="00034616">
      <w:footerReference w:type="default" r:id="rId9"/>
      <w:pgSz w:w="11906" w:h="16838"/>
      <w:pgMar w:top="765" w:right="850" w:bottom="76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4"/>
      </w:rPr>
    </w:r>
    <w:r>
      <w:t>Derived from LUMINA-30 Boundary Kernel v1.2.1. Form v1.0.1 / May 2026. This form does not certify system safety and does not replace PCR-C.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 w:eastAsia="Liberation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