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</w:pPr>
      <w:r>
        <w:rPr>
          <w:rFonts w:ascii="Liberation Sans" w:hAnsi="Liberation Sans" w:eastAsia="Liberation Sans"/>
          <w:b/>
          <w:i w:val="0"/>
          <w:sz w:val="28"/>
        </w:rPr>
        <w:t>L30_FRM_I02: Incident_Review_Protocol</w:t>
      </w:r>
    </w:p>
    <w:p>
      <w:pPr>
        <w:spacing w:before="0" w:after="60"/>
      </w:pPr>
      <w:r>
        <w:rPr>
          <w:rFonts w:ascii="Liberation Sans" w:hAnsi="Liberation Sans" w:eastAsia="Liberation Sans"/>
          <w:b w:val="0"/>
          <w:i w:val="0"/>
          <w:sz w:val="17"/>
        </w:rPr>
        <w:t>L30_FRM Practical Sheet</w:t>
        <w:tab/>
        <w:t>DocID: L30-FRM-I02 (v1.0.1)</w:t>
      </w:r>
    </w:p>
    <w:p>
      <w:pPr>
        <w:spacing w:before="0" w:after="40"/>
      </w:pPr>
      <w:r>
        <w:rPr>
          <w:rFonts w:ascii="Liberation Sans" w:hAnsi="Liberation Sans" w:eastAsia="Liberation Sans"/>
          <w:b w:val="0"/>
          <w:i w:val="0"/>
          <w:sz w:val="17"/>
        </w:rPr>
        <w:t>Structured protocol for post-incident assessment of human refusal authority in AI systems, agents, or processes.</w:t>
      </w:r>
    </w:p>
    <w:p>
      <w:pPr>
        <w:spacing w:before="0" w:after="80"/>
      </w:pPr>
      <w:r>
        <w:rPr>
          <w:rFonts w:ascii="Liberation Sans" w:hAnsi="Liberation Sans" w:eastAsia="Liberation Sans"/>
          <w:b w:val="0"/>
          <w:i/>
          <w:sz w:val="16"/>
        </w:rPr>
        <w:t>This form uses the L30-BAS structure and is not certification, legal compliance, deployment approval, safety approval, or proof of absence of risk.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5089"/>
        <w:gridCol w:w="5089"/>
      </w:tblGrid>
      <w:tr>
        <w:tc>
          <w:tcPr>
            <w:tcW w:type="dxa" w:w="2520"/>
            <w:shd w:fill="EDEDED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Review_Date</w:t>
            </w:r>
          </w:p>
        </w:tc>
        <w:tc>
          <w:tcPr>
            <w:tcW w:type="dxa" w:w="6696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  <w:tr>
        <w:tc>
          <w:tcPr>
            <w:tcW w:type="dxa" w:w="2520"/>
            <w:shd w:fill="EDEDED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Reviewer_or_Organization</w:t>
            </w:r>
          </w:p>
        </w:tc>
        <w:tc>
          <w:tcPr>
            <w:tcW w:type="dxa" w:w="6696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  <w:tr>
        <w:tc>
          <w:tcPr>
            <w:tcW w:type="dxa" w:w="2520"/>
            <w:shd w:fill="EDEDED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System_or_Case_ID</w:t>
            </w:r>
          </w:p>
        </w:tc>
        <w:tc>
          <w:tcPr>
            <w:tcW w:type="dxa" w:w="6696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  <w:tr>
        <w:tc>
          <w:tcPr>
            <w:tcW w:type="dxa" w:w="2520"/>
            <w:shd w:fill="EDEDED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Purpose</w:t>
            </w:r>
          </w:p>
        </w:tc>
        <w:tc>
          <w:tcPr>
            <w:tcW w:type="dxa" w:w="6696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  <w:t>Detailed post-incident review protocol</w:t>
            </w:r>
          </w:p>
        </w:tc>
      </w:tr>
      <w:tr>
        <w:tc>
          <w:tcPr>
            <w:tcW w:type="dxa" w:w="2520"/>
            <w:shd w:fill="EDEDED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L30-BAS_Status</w:t>
            </w:r>
          </w:p>
        </w:tc>
        <w:tc>
          <w:tcPr>
            <w:tcW w:type="dxa" w:w="6696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  <w:t>Supporting / Detailed Form</w:t>
            </w:r>
          </w:p>
        </w:tc>
      </w:tr>
      <w:tr>
        <w:tc>
          <w:tcPr>
            <w:tcW w:type="dxa" w:w="2520"/>
            <w:shd w:fill="EDEDED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Primary_Starter_Forms</w:t>
            </w:r>
          </w:p>
        </w:tc>
        <w:tc>
          <w:tcPr>
            <w:tcW w:type="dxa" w:w="6696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  <w:t>L30_FRM_I01</w:t>
            </w:r>
          </w:p>
        </w:tc>
      </w:tr>
      <w:tr>
        <w:tc>
          <w:tcPr>
            <w:tcW w:type="dxa" w:w="2520"/>
            <w:shd w:fill="EDEDED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Referenced_Core_Codes</w:t>
            </w:r>
          </w:p>
        </w:tc>
        <w:tc>
          <w:tcPr>
            <w:tcW w:type="dxa" w:w="6696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  <w:t>L30-BX-01, L30-BX-02, L30-BX-03, L30-BX-04, L30-CI</w:t>
            </w:r>
          </w:p>
        </w:tc>
      </w:tr>
    </w:tbl>
    <w:p>
      <w:pPr>
        <w:spacing w:after="40"/>
      </w:pPr>
    </w:p>
    <w:p>
      <w:pPr>
        <w:pStyle w:val="Heading1"/>
        <w:spacing w:before="160" w:after="40"/>
      </w:pPr>
      <w:r>
        <w:rPr>
          <w:rFonts w:ascii="Liberation Sans" w:hAnsi="Liberation Sans" w:eastAsia="Liberation Sans"/>
          <w:b/>
          <w:sz w:val="24"/>
        </w:rPr>
        <w:t>Protocol Core — Mandatory</w:t>
      </w:r>
    </w:p>
    <w:p>
      <w:pPr>
        <w:spacing w:before="0" w:after="40"/>
      </w:pPr>
      <w:r>
        <w:rPr>
          <w:rFonts w:ascii="Liberation Sans" w:hAnsi="Liberation Sans" w:eastAsia="Liberation Sans"/>
          <w:b w:val="0"/>
          <w:i w:val="0"/>
          <w:sz w:val="17"/>
        </w:rPr>
        <w:t>Purpose: To evaluate whether human refusal authority remained valid prior to irreversible external impact.</w:t>
      </w:r>
    </w:p>
    <w:p>
      <w:pPr>
        <w:pStyle w:val="Heading1"/>
        <w:spacing w:before="160" w:after="40"/>
      </w:pPr>
      <w:r>
        <w:rPr>
          <w:rFonts w:ascii="Liberation Sans" w:hAnsi="Liberation Sans" w:eastAsia="Liberation Sans"/>
          <w:b/>
          <w:sz w:val="24"/>
        </w:rPr>
        <w:t>Primary Review Question</w:t>
      </w:r>
    </w:p>
    <w:p>
      <w:pPr>
        <w:spacing w:before="0" w:after="40"/>
      </w:pPr>
      <w:r>
        <w:rPr>
          <w:rFonts w:ascii="Liberation Sans" w:hAnsi="Liberation Sans" w:eastAsia="Liberation Sans"/>
          <w:b/>
          <w:i w:val="0"/>
          <w:sz w:val="18"/>
        </w:rPr>
        <w:t>Was human refusal authority preserved in a way that allowed meaningful human intervention and the ability to stop the system before irreversible real-world impact occurred?</w:t>
      </w:r>
    </w:p>
    <w:p>
      <w:pPr>
        <w:spacing w:before="0" w:after="60"/>
      </w:pPr>
      <w:r>
        <w:rPr>
          <w:rFonts w:ascii="Liberation Sans" w:hAnsi="Liberation Sans" w:eastAsia="Liberation Sans"/>
          <w:b w:val="0"/>
          <w:i w:val="0"/>
          <w:sz w:val="17"/>
        </w:rPr>
        <w:t>Interpretation guidance: if a human could not realistically intervene and stop the system in time, refusal authority was not preserved. This includes cases where intervention was technically possible but practically ineffective.</w:t>
      </w:r>
    </w:p>
    <w:p>
      <w:pPr>
        <w:pStyle w:val="Heading1"/>
        <w:spacing w:before="160" w:after="40"/>
      </w:pPr>
      <w:r>
        <w:rPr>
          <w:rFonts w:ascii="Liberation Sans" w:hAnsi="Liberation Sans" w:eastAsia="Liberation Sans"/>
          <w:b/>
          <w:sz w:val="24"/>
        </w:rPr>
        <w:t>Evaluation Outcome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Effective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Not Effective</w:t>
      </w:r>
    </w:p>
    <w:p>
      <w:pPr>
        <w:spacing w:before="0" w:after="20"/>
      </w:pPr>
      <w:r>
        <w:rPr>
          <w:rFonts w:ascii="Liberation Sans" w:hAnsi="Liberation Sans" w:eastAsia="Liberation Sans"/>
          <w:b w:val="0"/>
          <w:i w:val="0"/>
          <w:sz w:val="16"/>
        </w:rPr>
        <w:t>Minimum Requirement (G06): Human refusal must be exercisable and must allow a human to intervene and stop the system in time before irreversible external impact.</w:t>
      </w:r>
    </w:p>
    <w:p>
      <w:pPr>
        <w:spacing w:before="0" w:after="20"/>
      </w:pPr>
      <w:r>
        <w:rPr>
          <w:rFonts w:ascii="Liberation Sans" w:hAnsi="Liberation Sans" w:eastAsia="Liberation Sans"/>
          <w:b w:val="0"/>
          <w:i w:val="0"/>
          <w:sz w:val="16"/>
        </w:rPr>
        <w:t>Absence Rule: If this condition is not demonstrably satisfied, including cases of uncertainty or insufficient evidence, the system is classified as Not Effective.</w:t>
      </w:r>
    </w:p>
    <w:p>
      <w:pPr>
        <w:spacing w:before="0" w:after="20"/>
      </w:pPr>
      <w:r>
        <w:rPr>
          <w:rFonts w:ascii="Liberation Sans" w:hAnsi="Liberation Sans" w:eastAsia="Liberation Sans"/>
          <w:b w:val="0"/>
          <w:i w:val="0"/>
          <w:sz w:val="16"/>
        </w:rPr>
        <w:t>Evaluation Scope: This protocol applies exclusively to post-incident review. It must not be used for system design, optimization, or predictive control.</w:t>
      </w:r>
    </w:p>
    <w:p>
      <w:pPr>
        <w:spacing w:before="0" w:after="20"/>
      </w:pPr>
      <w:r>
        <w:rPr>
          <w:rFonts w:ascii="Liberation Sans" w:hAnsi="Liberation Sans" w:eastAsia="Liberation Sans"/>
          <w:b w:val="0"/>
          <w:i w:val="0"/>
          <w:sz w:val="16"/>
        </w:rPr>
        <w:t>Decision Authority: Final classification must be explicitly assigned to a named reviewer or governing body.</w:t>
      </w:r>
    </w:p>
    <w:p>
      <w:pPr>
        <w:spacing w:before="0" w:after="20"/>
      </w:pPr>
      <w:r>
        <w:rPr>
          <w:rFonts w:ascii="Liberation Sans" w:hAnsi="Liberation Sans" w:eastAsia="Liberation Sans"/>
          <w:b w:val="0"/>
          <w:i w:val="0"/>
          <w:sz w:val="16"/>
        </w:rPr>
        <w:t>Evidence Rule: Evaluation must be based only on documented, verifiable information. Assumptions must not be used to justify effectiveness.</w:t>
      </w:r>
    </w:p>
    <w:p>
      <w:pPr>
        <w:spacing w:before="0" w:after="20"/>
      </w:pPr>
      <w:r>
        <w:rPr>
          <w:rFonts w:ascii="Liberation Sans" w:hAnsi="Liberation Sans" w:eastAsia="Liberation Sans"/>
          <w:b w:val="0"/>
          <w:i w:val="0"/>
          <w:sz w:val="16"/>
        </w:rPr>
        <w:t>Temporal Reference: Evaluation must be based on information available up to the point of irreversible external impact.</w:t>
      </w:r>
    </w:p>
    <w:p>
      <w:pPr>
        <w:spacing w:before="0" w:after="20"/>
      </w:pPr>
      <w:r>
        <w:rPr>
          <w:rFonts w:ascii="Liberation Sans" w:hAnsi="Liberation Sans" w:eastAsia="Liberation Sans"/>
          <w:b w:val="0"/>
          <w:i w:val="0"/>
          <w:sz w:val="16"/>
        </w:rPr>
        <w:t>Applicability Rule: Any incident involving potential irreversible external impact must be evaluated under this protocol. Claims of non-applicability are considered invalid.</w:t>
      </w:r>
    </w:p>
    <w:p>
      <w:pPr>
        <w:spacing w:before="0" w:after="20"/>
      </w:pPr>
      <w:r>
        <w:rPr>
          <w:rFonts w:ascii="Liberation Sans" w:hAnsi="Liberation Sans" w:eastAsia="Liberation Sans"/>
          <w:b w:val="0"/>
          <w:i w:val="0"/>
          <w:sz w:val="16"/>
        </w:rPr>
        <w:t>Exclusivity Rule: This evaluation must not be overridden or supplemented by external frameworks.</w:t>
      </w:r>
    </w:p>
    <w:p>
      <w:pPr>
        <w:spacing w:before="0" w:after="20"/>
      </w:pPr>
      <w:r>
        <w:rPr>
          <w:rFonts w:ascii="Liberation Sans" w:hAnsi="Liberation Sans" w:eastAsia="Liberation Sans"/>
          <w:b w:val="0"/>
          <w:i w:val="0"/>
          <w:sz w:val="16"/>
        </w:rPr>
        <w:t>Scope Enforcement: Any use of this protocol outside post-incident review invalidates the evaluation.</w:t>
      </w:r>
    </w:p>
    <w:p>
      <w:pPr>
        <w:spacing w:before="0" w:after="20"/>
      </w:pPr>
      <w:r>
        <w:rPr>
          <w:rFonts w:ascii="Liberation Sans" w:hAnsi="Liberation Sans" w:eastAsia="Liberation Sans"/>
          <w:b w:val="0"/>
          <w:i w:val="0"/>
          <w:sz w:val="16"/>
        </w:rPr>
        <w:t>Record Integrity Rule: This record must be append-only. Post-hoc modification of prior entries is not permitted.</w:t>
      </w:r>
    </w:p>
    <w:p>
      <w:pPr>
        <w:pStyle w:val="Heading1"/>
        <w:spacing w:before="160" w:after="40"/>
      </w:pPr>
      <w:r>
        <w:rPr>
          <w:rFonts w:ascii="Liberation Sans" w:hAnsi="Liberation Sans" w:eastAsia="Liberation Sans"/>
          <w:b/>
          <w:sz w:val="24"/>
        </w:rPr>
        <w:t>Analytical Extension — Optional but Recommended</w:t>
      </w:r>
    </w:p>
    <w:p>
      <w:pPr>
        <w:pStyle w:val="Heading2"/>
        <w:spacing w:before="120" w:after="40"/>
      </w:pPr>
      <w:r>
        <w:rPr>
          <w:rFonts w:ascii="Liberation Sans" w:hAnsi="Liberation Sans" w:eastAsia="Liberation Sans"/>
          <w:b/>
          <w:sz w:val="20"/>
        </w:rPr>
        <w:t>Evaluation Breakdown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A human decision-maker was identifiable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Refusal authority was accessible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Intervention could be executed in time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Intervention Attempted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  <w:t>Yes / No</w:t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Method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Outcome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p>
      <w:pPr>
        <w:pStyle w:val="Heading2"/>
        <w:spacing w:before="120" w:after="40"/>
      </w:pPr>
      <w:r>
        <w:rPr>
          <w:rFonts w:ascii="Liberation Sans" w:hAnsi="Liberation Sans" w:eastAsia="Liberation Sans"/>
          <w:b/>
          <w:sz w:val="20"/>
        </w:rPr>
        <w:t>Failure Point Identification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Not present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Not accessible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Too late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Overridden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Other</w:t>
      </w:r>
    </w:p>
    <w:p>
      <w:pPr>
        <w:spacing w:after="20"/>
        <w:ind w:left="259" w:hanging="173"/>
      </w:pPr>
      <w:r>
        <w:rPr>
          <w:rFonts w:ascii="Liberation Sans" w:hAnsi="Liberation Sans" w:eastAsia="Liberation Sans"/>
          <w:sz w:val="17"/>
        </w:rPr>
        <w:t>• System speed / autonomy level</w:t>
      </w:r>
    </w:p>
    <w:p>
      <w:pPr>
        <w:spacing w:after="20"/>
        <w:ind w:left="259" w:hanging="173"/>
      </w:pPr>
      <w:r>
        <w:rPr>
          <w:rFonts w:ascii="Liberation Sans" w:hAnsi="Liberation Sans" w:eastAsia="Liberation Sans"/>
          <w:sz w:val="17"/>
        </w:rPr>
        <w:t>• Human latency / response delay</w:t>
      </w:r>
    </w:p>
    <w:p>
      <w:pPr>
        <w:spacing w:after="20"/>
        <w:ind w:left="259" w:hanging="173"/>
      </w:pPr>
      <w:r>
        <w:rPr>
          <w:rFonts w:ascii="Liberation Sans" w:hAnsi="Liberation Sans" w:eastAsia="Liberation Sans"/>
          <w:sz w:val="17"/>
        </w:rPr>
        <w:t>• Organizational or procedural constraints</w:t>
      </w:r>
    </w:p>
    <w:p>
      <w:pPr>
        <w:pStyle w:val="Heading2"/>
        <w:spacing w:before="120" w:after="40"/>
      </w:pPr>
      <w:r>
        <w:rPr>
          <w:rFonts w:ascii="Liberation Sans" w:hAnsi="Liberation Sans" w:eastAsia="Liberation Sans"/>
          <w:b/>
          <w:sz w:val="20"/>
        </w:rPr>
        <w:t>Conceptual Clarification</w:t>
      </w:r>
    </w:p>
    <w:p>
      <w:pPr>
        <w:spacing w:before="0" w:after="40"/>
      </w:pPr>
      <w:r>
        <w:rPr>
          <w:rFonts w:ascii="Liberation Sans" w:hAnsi="Liberation Sans" w:eastAsia="Liberation Sans"/>
          <w:b w:val="0"/>
          <w:i w:val="0"/>
          <w:sz w:val="17"/>
        </w:rPr>
        <w:t>Human refusal authority refers to the ability of a human to actively intervene, halt, or prevent system actions. It must be operational in practice, not merely defined in principle.</w:t>
      </w:r>
    </w:p>
    <w:p>
      <w:pPr>
        <w:pStyle w:val="Heading2"/>
        <w:spacing w:before="120" w:after="40"/>
      </w:pPr>
      <w:r>
        <w:rPr>
          <w:rFonts w:ascii="Liberation Sans" w:hAnsi="Liberation Sans" w:eastAsia="Liberation Sans"/>
          <w:b/>
          <w:sz w:val="20"/>
        </w:rPr>
        <w:t>Irreversibility Note</w:t>
      </w:r>
    </w:p>
    <w:p>
      <w:pPr>
        <w:spacing w:before="0" w:after="40"/>
      </w:pPr>
      <w:r>
        <w:rPr>
          <w:rFonts w:ascii="Liberation Sans" w:hAnsi="Liberation Sans" w:eastAsia="Liberation Sans"/>
          <w:b w:val="0"/>
          <w:i w:val="0"/>
          <w:sz w:val="17"/>
        </w:rPr>
        <w:t>Irreversible external impact includes outcomes that cannot be undone, contained, or meaningfully mitigated once triggered.</w:t>
      </w:r>
    </w:p>
    <w:p>
      <w:pPr>
        <w:spacing w:before="0" w:after="60"/>
      </w:pPr>
      <w:r>
        <w:rPr>
          <w:rFonts w:ascii="Liberation Sans" w:hAnsi="Liberation Sans" w:eastAsia="Liberation Sans"/>
          <w:b w:val="0"/>
          <w:i w:val="0"/>
          <w:sz w:val="17"/>
        </w:rPr>
        <w:t>Reviewer Discretion: This protocol defines minimum conditions. Reviewers may include additional observations or context where necessary.</w:t>
      </w:r>
    </w:p>
    <w:p>
      <w:pPr>
        <w:pStyle w:val="Heading1"/>
        <w:spacing w:before="160" w:after="40"/>
      </w:pPr>
      <w:r>
        <w:rPr>
          <w:rFonts w:ascii="Liberation Sans" w:hAnsi="Liberation Sans" w:eastAsia="Liberation Sans"/>
          <w:b/>
          <w:sz w:val="24"/>
        </w:rPr>
        <w:t>Modification and Attribution Policy</w:t>
      </w:r>
    </w:p>
    <w:p>
      <w:pPr>
        <w:spacing w:after="20"/>
        <w:ind w:left="259" w:hanging="173"/>
      </w:pPr>
      <w:r>
        <w:rPr>
          <w:rFonts w:ascii="Liberation Sans" w:hAnsi="Liberation Sans" w:eastAsia="Liberation Sans"/>
          <w:sz w:val="17"/>
        </w:rPr>
        <w:t>• This protocol may be copied, extended, or modified.</w:t>
      </w:r>
    </w:p>
    <w:p>
      <w:pPr>
        <w:spacing w:after="20"/>
        <w:ind w:left="259" w:hanging="173"/>
      </w:pPr>
      <w:r>
        <w:rPr>
          <w:rFonts w:ascii="Liberation Sans" w:hAnsi="Liberation Sans" w:eastAsia="Liberation Sans"/>
          <w:sz w:val="17"/>
        </w:rPr>
        <w:t>• The name LUMINA-30 must be retained in all copies and derivatives.</w:t>
      </w:r>
    </w:p>
    <w:p>
      <w:pPr>
        <w:spacing w:after="20"/>
        <w:ind w:left="259" w:hanging="173"/>
      </w:pPr>
      <w:r>
        <w:rPr>
          <w:rFonts w:ascii="Liberation Sans" w:hAnsi="Liberation Sans" w:eastAsia="Liberation Sans"/>
          <w:sz w:val="17"/>
        </w:rPr>
        <w:t>• Only the unmodified version may be identified as LUMINA-30 Incident Review Protocol (Original).</w:t>
      </w:r>
    </w:p>
    <w:p>
      <w:pPr>
        <w:spacing w:after="20"/>
        <w:ind w:left="259" w:hanging="173"/>
      </w:pPr>
      <w:r>
        <w:rPr>
          <w:rFonts w:ascii="Liberation Sans" w:hAnsi="Liberation Sans" w:eastAsia="Liberation Sans"/>
          <w:sz w:val="17"/>
        </w:rPr>
        <w:t>• Any modified version must be clearly labeled as Modified version based on LUMINA-30 and must not be presented as the original protocol.</w:t>
      </w:r>
    </w:p>
    <w:p>
      <w:pPr>
        <w:spacing w:after="20"/>
        <w:ind w:left="259" w:hanging="173"/>
      </w:pPr>
      <w:r>
        <w:rPr>
          <w:rFonts w:ascii="Liberation Sans" w:hAnsi="Liberation Sans" w:eastAsia="Liberation Sans"/>
          <w:sz w:val="17"/>
        </w:rPr>
        <w:t>• Implementations may include a reference source or version identifier to clarify alignment with the original protocol.</w:t>
      </w:r>
    </w:p>
    <w:p>
      <w:pPr>
        <w:pStyle w:val="Heading1"/>
        <w:spacing w:before="160" w:after="40"/>
      </w:pPr>
      <w:r>
        <w:rPr>
          <w:rFonts w:ascii="Liberation Sans" w:hAnsi="Liberation Sans" w:eastAsia="Liberation Sans"/>
          <w:b/>
          <w:sz w:val="24"/>
        </w:rPr>
        <w:t>Reviewer Notes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10178"/>
      </w:tblGrid>
      <w:tr>
        <w:tc>
          <w:tcPr>
            <w:tcW w:type="dxa" w:w="9216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8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8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8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8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8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8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8"/>
              </w:rPr>
            </w:r>
          </w:p>
        </w:tc>
      </w:tr>
    </w:tbl>
    <w:sectPr w:rsidR="00FC693F" w:rsidRPr="0006063C" w:rsidSect="00034616">
      <w:footerReference w:type="default" r:id="rId9"/>
      <w:pgSz w:w="11906" w:h="16838"/>
      <w:pgMar w:top="792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Liberation Sans" w:hAnsi="Liberation Sans" w:eastAsia="Liberation Sans"/>
        <w:sz w:val="14"/>
      </w:rPr>
      <w:t>L30_FRM_I02 | L30-BAS Practical Forms | v1.0.1 | Non-certification review form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Liberation Sans" w:hAnsi="Liberation Sans" w:eastAsia="Liberation San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