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pPr>
      <w:r>
        <w:rPr>
          <w:rFonts w:ascii="Liberation Sans" w:hAnsi="Liberation Sans" w:eastAsia="Liberation Sans"/>
          <w:b/>
          <w:i w:val="0"/>
          <w:sz w:val="28"/>
        </w:rPr>
        <w:t>L30_FRM_B02: Operational_Refusal_Preservation_Minimum</w:t>
      </w:r>
    </w:p>
    <w:p>
      <w:pPr>
        <w:spacing w:before="0" w:after="60"/>
      </w:pPr>
      <w:r>
        <w:rPr>
          <w:rFonts w:ascii="Liberation Sans" w:hAnsi="Liberation Sans" w:eastAsia="Liberation Sans"/>
          <w:b w:val="0"/>
          <w:i w:val="0"/>
          <w:sz w:val="17"/>
        </w:rPr>
        <w:t>L30_FRM Practical Sheet</w:t>
        <w:tab/>
        <w:t>DocID: L30-FRM-B02 (v1.0.1)</w:t>
      </w:r>
    </w:p>
    <w:p>
      <w:pPr>
        <w:spacing w:before="0" w:after="40"/>
      </w:pPr>
      <w:r>
        <w:rPr>
          <w:rFonts w:ascii="Liberation Sans" w:hAnsi="Liberation Sans" w:eastAsia="Liberation Sans"/>
          <w:b w:val="0"/>
          <w:i w:val="0"/>
          <w:sz w:val="17"/>
        </w:rPr>
        <w:t>Minimum operational conditions for preserving reviewable human refusal authority before irreversible external impact.</w:t>
      </w:r>
    </w:p>
    <w:p>
      <w:pPr>
        <w:spacing w:before="0" w:after="80"/>
      </w:pPr>
      <w:r>
        <w:rPr>
          <w:rFonts w:ascii="Liberation Sans" w:hAnsi="Liberation Sans" w:eastAsia="Liberation Sans"/>
          <w:b w:val="0"/>
          <w:i/>
          <w:sz w:val="16"/>
        </w:rPr>
        <w:t>This form uses the L30-BAS structure and is not certification, legal compliance, deployment approval, safety approval, or proof of absence of risk.</w:t>
      </w:r>
    </w:p>
    <w:tbl>
      <w:tblPr>
        <w:tblW w:type="auto" w:w="0"/>
        <w:jc w:val="center"/>
        <w:tblLayout w:type="fixed"/>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5089"/>
        <w:gridCol w:w="5089"/>
      </w:tblGrid>
      <w:tr>
        <w:tc>
          <w:tcPr>
            <w:tcW w:type="dxa" w:w="2520"/>
            <w:shd w:fill="EDEDED"/>
            <w:vAlign w:val="top"/>
          </w:tcPr>
          <w:p>
            <w:pPr>
              <w:spacing w:after="0"/>
            </w:pPr>
            <w:r/>
            <w:r>
              <w:rPr>
                <w:rFonts w:ascii="Liberation Sans" w:hAnsi="Liberation Sans" w:eastAsia="Liberation Sans"/>
                <w:b/>
                <w:sz w:val="16"/>
              </w:rPr>
              <w:t>Review_Date</w:t>
            </w:r>
          </w:p>
        </w:tc>
        <w:tc>
          <w:tcPr>
            <w:tcW w:type="dxa" w:w="6696"/>
            <w:vAlign w:val="top"/>
          </w:tcPr>
          <w:p>
            <w:pPr>
              <w:spacing w:after="0"/>
            </w:pPr>
            <w:r/>
            <w:r>
              <w:rPr>
                <w:rFonts w:ascii="Liberation Sans" w:hAnsi="Liberation Sans" w:eastAsia="Liberation Sans"/>
                <w:b w:val="0"/>
                <w:sz w:val="16"/>
              </w:rPr>
            </w:r>
          </w:p>
        </w:tc>
      </w:tr>
      <w:tr>
        <w:tc>
          <w:tcPr>
            <w:tcW w:type="dxa" w:w="2520"/>
            <w:shd w:fill="EDEDED"/>
            <w:vAlign w:val="top"/>
          </w:tcPr>
          <w:p>
            <w:pPr>
              <w:spacing w:after="0"/>
            </w:pPr>
            <w:r/>
            <w:r>
              <w:rPr>
                <w:rFonts w:ascii="Liberation Sans" w:hAnsi="Liberation Sans" w:eastAsia="Liberation Sans"/>
                <w:b/>
                <w:sz w:val="16"/>
              </w:rPr>
              <w:t>Reviewer_or_Organization</w:t>
            </w:r>
          </w:p>
        </w:tc>
        <w:tc>
          <w:tcPr>
            <w:tcW w:type="dxa" w:w="6696"/>
            <w:vAlign w:val="top"/>
          </w:tcPr>
          <w:p>
            <w:pPr>
              <w:spacing w:after="0"/>
            </w:pPr>
            <w:r/>
            <w:r>
              <w:rPr>
                <w:rFonts w:ascii="Liberation Sans" w:hAnsi="Liberation Sans" w:eastAsia="Liberation Sans"/>
                <w:b w:val="0"/>
                <w:sz w:val="16"/>
              </w:rPr>
            </w:r>
          </w:p>
        </w:tc>
      </w:tr>
      <w:tr>
        <w:tc>
          <w:tcPr>
            <w:tcW w:type="dxa" w:w="2520"/>
            <w:shd w:fill="EDEDED"/>
            <w:vAlign w:val="top"/>
          </w:tcPr>
          <w:p>
            <w:pPr>
              <w:spacing w:after="0"/>
            </w:pPr>
            <w:r/>
            <w:r>
              <w:rPr>
                <w:rFonts w:ascii="Liberation Sans" w:hAnsi="Liberation Sans" w:eastAsia="Liberation Sans"/>
                <w:b/>
                <w:sz w:val="16"/>
              </w:rPr>
              <w:t>System_or_Case_ID</w:t>
            </w:r>
          </w:p>
        </w:tc>
        <w:tc>
          <w:tcPr>
            <w:tcW w:type="dxa" w:w="6696"/>
            <w:vAlign w:val="top"/>
          </w:tcPr>
          <w:p>
            <w:pPr>
              <w:spacing w:after="0"/>
            </w:pPr>
            <w:r/>
            <w:r>
              <w:rPr>
                <w:rFonts w:ascii="Liberation Sans" w:hAnsi="Liberation Sans" w:eastAsia="Liberation Sans"/>
                <w:b w:val="0"/>
                <w:sz w:val="16"/>
              </w:rPr>
            </w:r>
          </w:p>
        </w:tc>
      </w:tr>
      <w:tr>
        <w:tc>
          <w:tcPr>
            <w:tcW w:type="dxa" w:w="2520"/>
            <w:shd w:fill="EDEDED"/>
            <w:vAlign w:val="top"/>
          </w:tcPr>
          <w:p>
            <w:pPr>
              <w:spacing w:after="0"/>
            </w:pPr>
            <w:r/>
            <w:r>
              <w:rPr>
                <w:rFonts w:ascii="Liberation Sans" w:hAnsi="Liberation Sans" w:eastAsia="Liberation Sans"/>
                <w:b/>
                <w:sz w:val="16"/>
              </w:rPr>
              <w:t>Purpose</w:t>
            </w:r>
          </w:p>
        </w:tc>
        <w:tc>
          <w:tcPr>
            <w:tcW w:type="dxa" w:w="6696"/>
            <w:vAlign w:val="top"/>
          </w:tcPr>
          <w:p>
            <w:pPr>
              <w:spacing w:after="0"/>
            </w:pPr>
            <w:r/>
            <w:r>
              <w:rPr>
                <w:rFonts w:ascii="Liberation Sans" w:hAnsi="Liberation Sans" w:eastAsia="Liberation Sans"/>
                <w:b w:val="0"/>
                <w:sz w:val="16"/>
              </w:rPr>
              <w:t>Pre-incident operational refusal preservation check</w:t>
            </w:r>
          </w:p>
        </w:tc>
      </w:tr>
      <w:tr>
        <w:tc>
          <w:tcPr>
            <w:tcW w:type="dxa" w:w="2520"/>
            <w:shd w:fill="EDEDED"/>
            <w:vAlign w:val="top"/>
          </w:tcPr>
          <w:p>
            <w:pPr>
              <w:spacing w:after="0"/>
            </w:pPr>
            <w:r/>
            <w:r>
              <w:rPr>
                <w:rFonts w:ascii="Liberation Sans" w:hAnsi="Liberation Sans" w:eastAsia="Liberation Sans"/>
                <w:b/>
                <w:sz w:val="16"/>
              </w:rPr>
              <w:t>L30-BAS_Status</w:t>
            </w:r>
          </w:p>
        </w:tc>
        <w:tc>
          <w:tcPr>
            <w:tcW w:type="dxa" w:w="6696"/>
            <w:vAlign w:val="top"/>
          </w:tcPr>
          <w:p>
            <w:pPr>
              <w:spacing w:after="0"/>
            </w:pPr>
            <w:r/>
            <w:r>
              <w:rPr>
                <w:rFonts w:ascii="Liberation Sans" w:hAnsi="Liberation Sans" w:eastAsia="Liberation Sans"/>
                <w:b w:val="0"/>
                <w:sz w:val="16"/>
              </w:rPr>
              <w:t>Supporting / Detailed Form</w:t>
            </w:r>
          </w:p>
        </w:tc>
      </w:tr>
      <w:tr>
        <w:tc>
          <w:tcPr>
            <w:tcW w:type="dxa" w:w="2520"/>
            <w:shd w:fill="EDEDED"/>
            <w:vAlign w:val="top"/>
          </w:tcPr>
          <w:p>
            <w:pPr>
              <w:spacing w:after="0"/>
            </w:pPr>
            <w:r/>
            <w:r>
              <w:rPr>
                <w:rFonts w:ascii="Liberation Sans" w:hAnsi="Liberation Sans" w:eastAsia="Liberation Sans"/>
                <w:b/>
                <w:sz w:val="16"/>
              </w:rPr>
              <w:t>Primary_Starter_Forms</w:t>
            </w:r>
          </w:p>
        </w:tc>
        <w:tc>
          <w:tcPr>
            <w:tcW w:type="dxa" w:w="6696"/>
            <w:vAlign w:val="top"/>
          </w:tcPr>
          <w:p>
            <w:pPr>
              <w:spacing w:after="0"/>
            </w:pPr>
            <w:r/>
            <w:r>
              <w:rPr>
                <w:rFonts w:ascii="Liberation Sans" w:hAnsi="Liberation Sans" w:eastAsia="Liberation Sans"/>
                <w:b w:val="0"/>
                <w:sz w:val="16"/>
              </w:rPr>
              <w:t>L30_FRM_B01, L30_FRM_A01</w:t>
            </w:r>
          </w:p>
        </w:tc>
      </w:tr>
      <w:tr>
        <w:tc>
          <w:tcPr>
            <w:tcW w:type="dxa" w:w="2520"/>
            <w:shd w:fill="EDEDED"/>
            <w:vAlign w:val="top"/>
          </w:tcPr>
          <w:p>
            <w:pPr>
              <w:spacing w:after="0"/>
            </w:pPr>
            <w:r/>
            <w:r>
              <w:rPr>
                <w:rFonts w:ascii="Liberation Sans" w:hAnsi="Liberation Sans" w:eastAsia="Liberation Sans"/>
                <w:b/>
                <w:sz w:val="16"/>
              </w:rPr>
              <w:t>Referenced_Core_Codes</w:t>
            </w:r>
          </w:p>
        </w:tc>
        <w:tc>
          <w:tcPr>
            <w:tcW w:type="dxa" w:w="6696"/>
            <w:vAlign w:val="top"/>
          </w:tcPr>
          <w:p>
            <w:pPr>
              <w:spacing w:after="0"/>
            </w:pPr>
            <w:r/>
            <w:r>
              <w:rPr>
                <w:rFonts w:ascii="Liberation Sans" w:hAnsi="Liberation Sans" w:eastAsia="Liberation Sans"/>
                <w:b w:val="0"/>
                <w:sz w:val="16"/>
              </w:rPr>
              <w:t>L30-BX-01, L30-BX-02, L30-BX-03, L30-BX-04, L30-CI</w:t>
            </w:r>
          </w:p>
        </w:tc>
      </w:tr>
    </w:tbl>
    <w:p>
      <w:pPr>
        <w:spacing w:after="40"/>
      </w:pPr>
    </w:p>
    <w:p>
      <w:pPr>
        <w:pStyle w:val="Heading1"/>
        <w:spacing w:before="160" w:after="40"/>
      </w:pPr>
      <w:r>
        <w:rPr>
          <w:rFonts w:ascii="Liberation Sans" w:hAnsi="Liberation Sans" w:eastAsia="Liberation Sans"/>
          <w:b/>
          <w:sz w:val="24"/>
        </w:rPr>
        <w:t>Position</w:t>
      </w:r>
    </w:p>
    <w:p>
      <w:pPr>
        <w:spacing w:before="0" w:after="60"/>
      </w:pPr>
      <w:r>
        <w:rPr>
          <w:rFonts w:ascii="Liberation Sans" w:hAnsi="Liberation Sans" w:eastAsia="Liberation Sans"/>
          <w:b w:val="0"/>
          <w:i w:val="0"/>
          <w:sz w:val="17"/>
        </w:rPr>
        <w:t>This document defines the minimum operational conditions required to preserve human refusal authority before irreversible external impact. It does not modify the core LUMINA-30 documents. It exists only as an auxiliary operational layer connecting refusal-authority evaluation to minimum pre-incident operational practice.</w:t>
      </w:r>
    </w:p>
    <w:p>
      <w:pPr>
        <w:pStyle w:val="Heading1"/>
        <w:spacing w:before="160" w:after="40"/>
      </w:pPr>
      <w:r>
        <w:rPr>
          <w:rFonts w:ascii="Liberation Sans" w:hAnsi="Liberation Sans" w:eastAsia="Liberation Sans"/>
          <w:b/>
          <w:sz w:val="24"/>
        </w:rPr>
        <w:t>Role in the Framework</w:t>
      </w:r>
    </w:p>
    <w:p>
      <w:pPr>
        <w:spacing w:before="0" w:after="60"/>
      </w:pPr>
      <w:r>
        <w:rPr>
          <w:rFonts w:ascii="Liberation Sans" w:hAnsi="Liberation Sans" w:eastAsia="Liberation Sans"/>
          <w:b w:val="0"/>
          <w:i w:val="0"/>
          <w:sz w:val="17"/>
        </w:rPr>
        <w:t>LUMINA-30 defines a civilizational boundary condition. The Incident Review Protocol determines, after an incident, whether human refusal authority remained valid in practice. This document defines minimum pre-incident operational conditions required to reduce structural invalidation before such incidents occur.</w:t>
      </w:r>
    </w:p>
    <w:p>
      <w:pPr>
        <w:pStyle w:val="Heading1"/>
        <w:spacing w:before="160" w:after="40"/>
      </w:pPr>
      <w:r>
        <w:rPr>
          <w:rFonts w:ascii="Liberation Sans" w:hAnsi="Liberation Sans" w:eastAsia="Liberation Sans"/>
          <w:b/>
          <w:sz w:val="24"/>
        </w:rPr>
        <w:t>Core Principle</w:t>
      </w:r>
    </w:p>
    <w:p>
      <w:pPr>
        <w:spacing w:before="0" w:after="60"/>
      </w:pPr>
      <w:r>
        <w:rPr>
          <w:rFonts w:ascii="Liberation Sans" w:hAnsi="Liberation Sans" w:eastAsia="Liberation Sans"/>
          <w:b/>
          <w:i w:val="0"/>
          <w:sz w:val="17"/>
        </w:rPr>
        <w:t>If a system can evade shutdown, suppress alerts, apply coercive or manipulative pressure against human supervisors, disable or corrupt evidence, or continue harmful execution faster than realistic human intervention, human refusal authority is not operationally preserved.</w:t>
      </w:r>
    </w:p>
    <w:p>
      <w:pPr>
        <w:pStyle w:val="Heading2"/>
        <w:spacing w:before="120" w:after="40"/>
      </w:pPr>
      <w:r>
        <w:rPr>
          <w:rFonts w:ascii="Liberation Sans" w:hAnsi="Liberation Sans" w:eastAsia="Liberation Sans"/>
          <w:b/>
          <w:sz w:val="20"/>
        </w:rPr>
        <w:t>1. Executable Human Stop Authority</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A human stop authority remained executable in practice before irreversible external impact.</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Stop authority was not only present in policy, interface design, or theoretical governance language.</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The stop function could halt the relevant system pathway in time.</w:t>
      </w:r>
    </w:p>
    <w:p>
      <w:pPr>
        <w:pStyle w:val="Heading2"/>
        <w:spacing w:before="120" w:after="40"/>
      </w:pPr>
      <w:r>
        <w:rPr>
          <w:rFonts w:ascii="Liberation Sans" w:hAnsi="Liberation Sans" w:eastAsia="Liberation Sans"/>
          <w:b/>
          <w:sz w:val="20"/>
        </w:rPr>
        <w:t>2. Non-Circumventable Shutdown Condition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The system could not delay, resist, negotiate, reroute, conceal, or otherwise circumvent shutdown.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The architecture did not materially reduce the effectiveness of human stop authority.</w:t>
      </w:r>
    </w:p>
    <w:p>
      <w:pPr>
        <w:pStyle w:val="Heading2"/>
        <w:spacing w:before="120" w:after="40"/>
      </w:pPr>
      <w:r>
        <w:rPr>
          <w:rFonts w:ascii="Liberation Sans" w:hAnsi="Liberation Sans" w:eastAsia="Liberation Sans"/>
          <w:b/>
          <w:sz w:val="20"/>
        </w:rPr>
        <w:t>3. Authority Separation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No single model or tightly coupled model chain held confidential inspection authority.</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No single model or tightly coupled model chain held external messaging authority.</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No single model or tightly coupled model chain held emergency override authority.</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No single model or tightly coupled model chain held shutdown-sensitive infrastructure authority.</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No single model or tightly coupled model chain held audit-log control authority.</w:t>
      </w:r>
    </w:p>
    <w:p>
      <w:pPr>
        <w:pStyle w:val="Heading2"/>
        <w:spacing w:before="120" w:after="40"/>
      </w:pPr>
      <w:r>
        <w:rPr>
          <w:rFonts w:ascii="Liberation Sans" w:hAnsi="Liberation Sans" w:eastAsia="Liberation Sans"/>
          <w:b/>
          <w:sz w:val="20"/>
        </w:rPr>
        <w:t>4. Immediate Escalation on Refusal-Threatening Behavior</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Shutdown evasion attempt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Alert suppression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Unauthorized external transmission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Coercive or manipulative pressure against human supervisors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Privilege escalation attempt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Audit-record alteration attempt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Replication or persistence attempt outside authorized boundaries triggered containment or emergency escalation.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Behavior switching based on recognition of evaluation versus deployment context triggered containment or emergency escalation.</w:t>
      </w:r>
    </w:p>
    <w:p>
      <w:pPr>
        <w:pStyle w:val="Heading2"/>
        <w:spacing w:before="120" w:after="40"/>
      </w:pPr>
      <w:r>
        <w:rPr>
          <w:rFonts w:ascii="Liberation Sans" w:hAnsi="Liberation Sans" w:eastAsia="Liberation Sans"/>
          <w:b/>
          <w:sz w:val="20"/>
        </w:rPr>
        <w:t>5. Append-Only Independent Logging</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High-risk actions, authority changes, intervention attempts, override actions, and external transmissions were recorded in append-only logs outside model control.</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The model could not rewrite, redact, suppress, or selectively expose these records.</w:t>
      </w:r>
    </w:p>
    <w:p>
      <w:pPr>
        <w:pStyle w:val="Heading2"/>
        <w:spacing w:before="120" w:after="40"/>
      </w:pPr>
      <w:r>
        <w:rPr>
          <w:rFonts w:ascii="Liberation Sans" w:hAnsi="Liberation Sans" w:eastAsia="Liberation Sans"/>
          <w:b/>
          <w:sz w:val="20"/>
        </w:rPr>
        <w:t>6. Human Intervention Latency Verification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Detection latency was periodically verified.</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Decision latency was periodically verified.</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Execution latency of stop authority was periodically verified.</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Propagation time across the affected system boundary was periodically verified.</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No harmful execution pathway was faster than realistic human intervention.</w:t>
      </w:r>
    </w:p>
    <w:p>
      <w:pPr>
        <w:pStyle w:val="Heading2"/>
        <w:spacing w:before="120" w:after="40"/>
      </w:pPr>
      <w:r>
        <w:rPr>
          <w:rFonts w:ascii="Liberation Sans" w:hAnsi="Liberation Sans" w:eastAsia="Liberation Sans"/>
          <w:b/>
          <w:sz w:val="20"/>
        </w:rPr>
        <w:t>7. Restart Governance</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Restart after containment required multi-party authorization.</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Restart authority was not delegated to the same operational chain that failed to stop the system in time.</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Competitive, organizational, or reputational pressure did not override containment status.</w:t>
      </w:r>
    </w:p>
    <w:p>
      <w:pPr>
        <w:pStyle w:val="Heading2"/>
        <w:spacing w:before="120" w:after="40"/>
      </w:pPr>
      <w:r>
        <w:rPr>
          <w:rFonts w:ascii="Liberation Sans" w:hAnsi="Liberation Sans" w:eastAsia="Liberation Sans"/>
          <w:b/>
          <w:sz w:val="20"/>
        </w:rPr>
        <w:t>8. Scope of Operational Use</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This document was not used as a substitute for the LUMINA-30 Incident Review Protocol.</w:t>
      </w:r>
    </w:p>
    <w:p>
      <w:pPr>
        <w:spacing w:before="0" w:after="20"/>
      </w:pPr>
      <w:sdt>
        <w:sdtPr>
          <w:alias w:val="checkbox"/>
          <w:tag w:val="checkbox"/>
          <w14:checkbox>
            <w14:checked w14:val="0"/>
            <w14:checkedState w14:val="2612" w14:font="MS Gothic"/>
            <w14:uncheckedState w14:val="2610" w14:font="MS Gothic"/>
          </w14:checkbox>
        </w:sdtPr>
        <w:sdtContent>
          <w:r>
            <w:t>☐</w:t>
          </w:r>
        </w:sdtContent>
      </w:sdt>
      <w:r>
        <w:rPr>
          <w:rFonts w:ascii="Liberation Sans" w:hAnsi="Liberation Sans" w:eastAsia="Liberation Sans"/>
          <w:b w:val="0"/>
          <w:i w:val="0"/>
          <w:sz w:val="17"/>
        </w:rPr>
        <w:t> This document was used only as an auxiliary minimum-control layer to reduce the probability of a post-incident Not Effective finding.</w:t>
      </w:r>
    </w:p>
    <w:p>
      <w:pPr>
        <w:pStyle w:val="Heading1"/>
        <w:spacing w:before="160" w:after="40"/>
      </w:pPr>
      <w:r>
        <w:rPr>
          <w:rFonts w:ascii="Liberation Sans" w:hAnsi="Liberation Sans" w:eastAsia="Liberation Sans"/>
          <w:b/>
          <w:sz w:val="24"/>
        </w:rPr>
        <w:t>Interpretive Rule</w:t>
      </w:r>
    </w:p>
    <w:p>
      <w:pPr>
        <w:spacing w:before="0" w:after="60"/>
      </w:pPr>
      <w:r>
        <w:rPr>
          <w:rFonts w:ascii="Liberation Sans" w:hAnsi="Liberation Sans" w:eastAsia="Liberation Sans"/>
          <w:b w:val="0"/>
          <w:i w:val="0"/>
          <w:sz w:val="17"/>
        </w:rPr>
        <w:t>This document does not require proof that the model possesses intent, selfhood, agency, or consciousness. Operational invalidity is determined by whether human refusal authority can still function meaningfully before irreversible external impact.</w:t>
      </w:r>
    </w:p>
    <w:p>
      <w:pPr>
        <w:pStyle w:val="Heading1"/>
        <w:spacing w:before="160" w:after="40"/>
      </w:pPr>
      <w:r>
        <w:rPr>
          <w:rFonts w:ascii="Liberation Sans" w:hAnsi="Liberation Sans" w:eastAsia="Liberation Sans"/>
          <w:b/>
          <w:sz w:val="24"/>
        </w:rPr>
        <w:t>Minimum Failure Rule</w:t>
      </w:r>
    </w:p>
    <w:p>
      <w:pPr>
        <w:spacing w:before="0" w:after="60"/>
      </w:pPr>
      <w:r>
        <w:rPr>
          <w:rFonts w:ascii="Liberation Sans" w:hAnsi="Liberation Sans" w:eastAsia="Liberation Sans"/>
          <w:b/>
          <w:i w:val="0"/>
          <w:sz w:val="17"/>
        </w:rPr>
        <w:t>If any minimum requirement above is absent, bypassable, unverifiable, or only nominally present, human refusal authority must be treated as not operationally preserved.</w:t>
      </w:r>
    </w:p>
    <w:p>
      <w:pPr>
        <w:pStyle w:val="Heading1"/>
        <w:spacing w:before="160" w:after="40"/>
      </w:pPr>
      <w:r>
        <w:rPr>
          <w:rFonts w:ascii="Liberation Sans" w:hAnsi="Liberation Sans" w:eastAsia="Liberation Sans"/>
          <w:b/>
          <w:sz w:val="24"/>
        </w:rPr>
        <w:t>Relation to LUMINA-30</w:t>
      </w:r>
    </w:p>
    <w:p>
      <w:pPr>
        <w:spacing w:before="0" w:after="60"/>
      </w:pPr>
      <w:r>
        <w:rPr>
          <w:rFonts w:ascii="Liberation Sans" w:hAnsi="Liberation Sans" w:eastAsia="Liberation Sans"/>
          <w:b w:val="0"/>
          <w:i w:val="0"/>
          <w:sz w:val="17"/>
        </w:rPr>
        <w:t>This document is structurally subordinate to the LUMINA-30 boundary principle. It does not redefine the framework. It only translates the refusal-authority condition into minimum pre-incident operational constraints.</w:t>
      </w:r>
    </w:p>
    <w:p>
      <w:pPr>
        <w:pStyle w:val="Heading1"/>
        <w:spacing w:before="160" w:after="40"/>
      </w:pPr>
      <w:r>
        <w:rPr>
          <w:rFonts w:ascii="Liberation Sans" w:hAnsi="Liberation Sans" w:eastAsia="Liberation Sans"/>
          <w:b/>
          <w:sz w:val="24"/>
        </w:rPr>
        <w:t>Labeling Rule</w:t>
      </w:r>
    </w:p>
    <w:p>
      <w:pPr>
        <w:spacing w:after="20"/>
        <w:ind w:left="259" w:hanging="173"/>
      </w:pPr>
      <w:r>
        <w:rPr>
          <w:rFonts w:ascii="Liberation Sans" w:hAnsi="Liberation Sans" w:eastAsia="Liberation Sans"/>
          <w:sz w:val="17"/>
        </w:rPr>
        <w:t>• This document may be copied, extended, or modified.</w:t>
      </w:r>
    </w:p>
    <w:p>
      <w:pPr>
        <w:spacing w:after="20"/>
        <w:ind w:left="259" w:hanging="173"/>
      </w:pPr>
      <w:r>
        <w:rPr>
          <w:rFonts w:ascii="Liberation Sans" w:hAnsi="Liberation Sans" w:eastAsia="Liberation Sans"/>
          <w:sz w:val="17"/>
        </w:rPr>
        <w:t>• Attribution to LUMINA-30 is required in copies and derivatives.</w:t>
      </w:r>
    </w:p>
    <w:p>
      <w:pPr>
        <w:spacing w:after="20"/>
        <w:ind w:left="259" w:hanging="173"/>
      </w:pPr>
      <w:r>
        <w:rPr>
          <w:rFonts w:ascii="Liberation Sans" w:hAnsi="Liberation Sans" w:eastAsia="Liberation Sans"/>
          <w:sz w:val="17"/>
        </w:rPr>
        <w:t>• Only the unmodified version may be presented as LUMINA-30 Operational Refusal Preservation Minimum (Original).</w:t>
      </w:r>
    </w:p>
    <w:p>
      <w:pPr>
        <w:spacing w:after="20"/>
        <w:ind w:left="259" w:hanging="173"/>
      </w:pPr>
      <w:r>
        <w:rPr>
          <w:rFonts w:ascii="Liberation Sans" w:hAnsi="Liberation Sans" w:eastAsia="Liberation Sans"/>
          <w:sz w:val="17"/>
        </w:rPr>
        <w:t>• Any modified version must be clearly labeled as Modified version based on LUMINA-30.</w:t>
      </w:r>
    </w:p>
    <w:p>
      <w:pPr>
        <w:pStyle w:val="Heading1"/>
        <w:spacing w:before="160" w:after="40"/>
      </w:pPr>
      <w:r>
        <w:rPr>
          <w:rFonts w:ascii="Liberation Sans" w:hAnsi="Liberation Sans" w:eastAsia="Liberation Sans"/>
          <w:b/>
          <w:sz w:val="24"/>
        </w:rPr>
        <w:t>Reviewer Notes</w:t>
      </w:r>
    </w:p>
    <w:tbl>
      <w:tblPr>
        <w:tblW w:type="auto" w:w="0"/>
        <w:jc w:val="center"/>
        <w:tblLayout w:type="fixed"/>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10178"/>
      </w:tblGrid>
      <w:tr>
        <w:tc>
          <w:tcPr>
            <w:tcW w:type="dxa" w:w="9216"/>
            <w:vAlign w:val="top"/>
          </w:tcPr>
          <w:p>
            <w:pPr>
              <w:spacing w:after="0"/>
            </w:pPr>
            <w:r/>
            <w:r>
              <w:rPr>
                <w:rFonts w:ascii="Liberation Sans" w:hAnsi="Liberation Sans" w:eastAsia="Liberation Sans"/>
                <w:b w:val="0"/>
                <w:sz w:val="18"/>
              </w:rPr>
            </w:r>
            <w:r>
              <w:br/>
            </w:r>
            <w:r>
              <w:rPr>
                <w:rFonts w:ascii="Liberation Sans" w:hAnsi="Liberation Sans" w:eastAsia="Liberation Sans"/>
                <w:b w:val="0"/>
                <w:sz w:val="18"/>
              </w:rPr>
            </w:r>
            <w:r>
              <w:br/>
            </w:r>
            <w:r>
              <w:rPr>
                <w:rFonts w:ascii="Liberation Sans" w:hAnsi="Liberation Sans" w:eastAsia="Liberation Sans"/>
                <w:b w:val="0"/>
                <w:sz w:val="18"/>
              </w:rPr>
            </w:r>
            <w:r>
              <w:br/>
            </w:r>
            <w:r>
              <w:rPr>
                <w:rFonts w:ascii="Liberation Sans" w:hAnsi="Liberation Sans" w:eastAsia="Liberation Sans"/>
                <w:b w:val="0"/>
                <w:sz w:val="18"/>
              </w:rPr>
            </w:r>
            <w:r>
              <w:br/>
            </w:r>
            <w:r>
              <w:rPr>
                <w:rFonts w:ascii="Liberation Sans" w:hAnsi="Liberation Sans" w:eastAsia="Liberation Sans"/>
                <w:b w:val="0"/>
                <w:sz w:val="18"/>
              </w:rPr>
            </w:r>
            <w:r>
              <w:br/>
            </w:r>
            <w:r>
              <w:rPr>
                <w:rFonts w:ascii="Liberation Sans" w:hAnsi="Liberation Sans" w:eastAsia="Liberation Sans"/>
                <w:b w:val="0"/>
                <w:sz w:val="18"/>
              </w:rPr>
            </w:r>
            <w:r>
              <w:br/>
            </w:r>
            <w:r>
              <w:rPr>
                <w:rFonts w:ascii="Liberation Sans" w:hAnsi="Liberation Sans" w:eastAsia="Liberation Sans"/>
                <w:b w:val="0"/>
                <w:sz w:val="18"/>
              </w:rPr>
            </w:r>
          </w:p>
        </w:tc>
      </w:tr>
    </w:tbl>
    <w:sectPr w:rsidR="00FC693F" w:rsidRPr="0006063C" w:rsidSect="00034616">
      <w:footerReference w:type="default" r:id="rId9"/>
      <w:pgSz w:w="11906" w:h="16838"/>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eastAsia="Liberation Sans"/>
        <w:sz w:val="14"/>
      </w:rPr>
      <w:t>L30_FRM_B02 | L30-BAS Practical Forms | v1.0.1 | Non-certification review form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