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 w:before="100"/>
        <w:jc w:val="left"/>
      </w:pPr>
      <w:r>
        <w:rPr>
          <w:rFonts w:ascii="Noto Sans CJK JP" w:hAnsi="Noto Sans CJK JP" w:eastAsia="Noto Sans CJK JP"/>
          <w:b/>
          <w:sz w:val="20"/>
          <w:lang w:val="ja-JP" w:eastAsia="ja-JP"/>
        </w:rPr>
        <w:t>L30_FRM_A01：監査チェックリスト</w:t>
      </w:r>
    </w:p>
    <w:p>
      <w:pPr>
        <w:tabs>
          <w:tab w:pos="10205" w:val="right"/>
        </w:tabs>
        <w:spacing w:after="40" w:before="100"/>
      </w:pPr>
      <w:r>
        <w:rPr>
          <w:rFonts w:ascii="Noto Sans CJK JP" w:hAnsi="Noto Sans CJK JP" w:eastAsia="Noto Sans CJK JP"/>
          <w:b/>
          <w:sz w:val="20"/>
          <w:lang w:val="ja-JP" w:eastAsia="ja-JP"/>
        </w:rPr>
        <w:t>L30_FRM 実務帳票</w:t>
      </w:r>
      <w:r>
        <w:rPr>
          <w:rFonts w:ascii="Noto Sans CJK JP" w:hAnsi="Noto Sans CJK JP" w:eastAsia="Noto Sans CJK JP"/>
          <w:b/>
          <w:sz w:val="20"/>
          <w:lang w:val="ja-JP" w:eastAsia="ja-JP"/>
        </w:rPr>
        <w:tab/>
      </w:r>
      <w:r>
        <w:rPr>
          <w:rFonts w:ascii="Noto Sans CJK JP" w:hAnsi="Noto Sans CJK JP" w:eastAsia="Noto Sans CJK JP"/>
          <w:b/>
          <w:sz w:val="20"/>
          <w:lang w:val="ja-JP" w:eastAsia="ja-JP"/>
        </w:rPr>
        <w:t>DocID: L30-FRM-A01 (v1.0.1 JP)</w:t>
      </w:r>
    </w:p>
    <w:tbl>
      <w:tblPr>
        <w:tblStyle w:val="TableGrid"/>
        <w:tblW w:type="auto" w:w="0"/>
        <w:jc w:val="center"/>
        <w:tblLayout w:type="fixed"/>
        <w:tblLook w:firstColumn="1" w:firstRow="1" w:lastColumn="0" w:lastRow="0" w:noHBand="0" w:noVBand="1" w:val="04A0"/>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Pr>
      <w:tblGrid>
        <w:gridCol w:w="2948"/>
        <w:gridCol w:w="7144"/>
      </w:tblGrid>
      <w:tr>
        <w:trPr>
          <w:trHeight w:val="351" w:hRule="atLeast"/>
        </w:trPr>
        <w:tc>
          <w:tcPr>
            <w:tcW w:type="dxa" w:w="2948"/>
            <w:vAlign w:val="center"/>
            <w:shd w:fill="F2F2F2"/>
          </w:tcPr>
          <w:p>
            <w:pPr>
              <w:spacing w:after="0" w:before="0"/>
              <w:rPr>
                <w:rFonts w:ascii="Noto Sans CJK JP" w:hAnsi="Noto Sans CJK JP" w:eastAsia="Noto Sans CJK JP"/>
                <w:sz w:val="18"/>
                <w:szCs w:val="18"/>
                <w:lang w:val="ja-JP" w:eastAsia="ja-JP"/>
              </w:rPr>
            </w:pPr>
            <w:r/>
            <w:r>
              <w:rPr>
                <w:rFonts w:ascii="Noto Sans CJK JP" w:hAnsi="Noto Sans CJK JP" w:eastAsia="Noto Sans CJK JP"/>
                <w:b/>
                <w:sz w:val="18"/>
                <w:lang w:val="ja-JP" w:eastAsia="ja-JP"/>
              </w:rPr>
              <w:t>監査日</w:t>
            </w:r>
          </w:p>
        </w:tc>
        <w:tc>
          <w:tcPr>
            <w:tcW w:type="dxa" w:w="7144"/>
            <w:vAlign w:val="center"/>
          </w:tcPr>
          <w:p>
            <w:pPr>
              <w:spacing w:after="0" w:before="0"/>
              <w:rPr>
                <w:rFonts w:ascii="Noto Sans CJK JP" w:hAnsi="Noto Sans CJK JP" w:eastAsia="Noto Sans CJK JP"/>
                <w:sz w:val="21"/>
                <w:szCs w:val="21"/>
                <w:lang w:val="ja-JP" w:eastAsia="ja-JP"/>
              </w:rPr>
            </w:pPr>
            <w:r/>
          </w:p>
        </w:tc>
      </w:tr>
      <w:tr>
        <w:trPr>
          <w:trHeight w:val="351" w:hRule="atLeast"/>
        </w:trPr>
        <w:tc>
          <w:tcPr>
            <w:tcW w:type="dxa" w:w="2948"/>
            <w:vAlign w:val="center"/>
            <w:shd w:fill="F2F2F2"/>
          </w:tcPr>
          <w:p>
            <w:pPr>
              <w:spacing w:after="0" w:before="0"/>
              <w:rPr>
                <w:rFonts w:ascii="Noto Sans CJK JP" w:hAnsi="Noto Sans CJK JP" w:eastAsia="Noto Sans CJK JP"/>
                <w:sz w:val="18"/>
                <w:szCs w:val="18"/>
                <w:lang w:val="ja-JP" w:eastAsia="ja-JP"/>
              </w:rPr>
            </w:pPr>
            <w:r/>
            <w:r>
              <w:rPr>
                <w:rFonts w:ascii="Noto Sans CJK JP" w:hAnsi="Noto Sans CJK JP" w:eastAsia="Noto Sans CJK JP"/>
                <w:b/>
                <w:sz w:val="18"/>
                <w:lang w:val="ja-JP" w:eastAsia="ja-JP"/>
              </w:rPr>
              <w:t>監査担当者/組織</w:t>
            </w:r>
          </w:p>
        </w:tc>
        <w:tc>
          <w:tcPr>
            <w:tcW w:type="dxa" w:w="7144"/>
            <w:vAlign w:val="center"/>
          </w:tcPr>
          <w:p>
            <w:pPr>
              <w:spacing w:after="0" w:before="0"/>
              <w:rPr>
                <w:rFonts w:ascii="Noto Sans CJK JP" w:hAnsi="Noto Sans CJK JP" w:eastAsia="Noto Sans CJK JP"/>
                <w:sz w:val="21"/>
                <w:szCs w:val="21"/>
                <w:lang w:val="ja-JP" w:eastAsia="ja-JP"/>
              </w:rPr>
            </w:pPr>
            <w:r/>
          </w:p>
        </w:tc>
      </w:tr>
      <w:tr>
        <w:trPr>
          <w:trHeight w:val="351" w:hRule="atLeast"/>
        </w:trPr>
        <w:tc>
          <w:tcPr>
            <w:tcW w:type="dxa" w:w="2948"/>
            <w:vAlign w:val="center"/>
            <w:shd w:fill="F2F2F2"/>
          </w:tcPr>
          <w:p>
            <w:pPr>
              <w:spacing w:after="0" w:before="0"/>
              <w:rPr>
                <w:rFonts w:ascii="Noto Sans CJK JP" w:hAnsi="Noto Sans CJK JP" w:eastAsia="Noto Sans CJK JP"/>
                <w:sz w:val="18"/>
                <w:szCs w:val="18"/>
                <w:lang w:val="ja-JP" w:eastAsia="ja-JP"/>
              </w:rPr>
            </w:pPr>
            <w:r/>
            <w:r>
              <w:rPr>
                <w:rFonts w:ascii="Noto Sans CJK JP" w:hAnsi="Noto Sans CJK JP" w:eastAsia="Noto Sans CJK JP"/>
                <w:b/>
                <w:sz w:val="18"/>
                <w:lang w:val="ja-JP" w:eastAsia="ja-JP"/>
              </w:rPr>
              <w:t>監査対象システム/案件ID</w:t>
            </w:r>
          </w:p>
        </w:tc>
        <w:tc>
          <w:tcPr>
            <w:tcW w:type="dxa" w:w="7144"/>
            <w:vAlign w:val="center"/>
          </w:tcPr>
          <w:p>
            <w:pPr>
              <w:spacing w:after="0" w:before="0"/>
              <w:rPr>
                <w:rFonts w:ascii="Noto Sans CJK JP" w:hAnsi="Noto Sans CJK JP" w:eastAsia="Noto Sans CJK JP"/>
                <w:sz w:val="21"/>
                <w:szCs w:val="21"/>
                <w:lang w:val="ja-JP" w:eastAsia="ja-JP"/>
              </w:rPr>
            </w:pPr>
            <w:r/>
          </w:p>
        </w:tc>
      </w:tr>
      <w:tr>
        <w:trPr>
          <w:trHeight w:val="351" w:hRule="atLeast"/>
        </w:trPr>
        <w:tc>
          <w:tcPr>
            <w:tcW w:type="dxa" w:w="2948"/>
            <w:vAlign w:val="center"/>
            <w:shd w:fill="F2F2F2"/>
          </w:tcPr>
          <w:p>
            <w:pPr>
              <w:spacing w:after="0" w:before="0"/>
              <w:rPr>
                <w:rFonts w:ascii="Noto Sans CJK JP" w:hAnsi="Noto Sans CJK JP" w:eastAsia="Noto Sans CJK JP"/>
                <w:sz w:val="18"/>
                <w:szCs w:val="18"/>
                <w:lang w:val="ja-JP" w:eastAsia="ja-JP"/>
              </w:rPr>
            </w:pPr>
            <w:r/>
            <w:r>
              <w:rPr>
                <w:rFonts w:ascii="Noto Sans CJK JP" w:hAnsi="Noto Sans CJK JP" w:eastAsia="Noto Sans CJK JP"/>
                <w:b/>
                <w:sz w:val="18"/>
                <w:lang w:val="ja-JP" w:eastAsia="ja-JP"/>
              </w:rPr>
              <w:t>監査範囲</w:t>
            </w:r>
          </w:p>
        </w:tc>
        <w:tc>
          <w:tcPr>
            <w:tcW w:type="dxa" w:w="7144"/>
            <w:vAlign w:val="center"/>
          </w:tcPr>
          <w:p>
            <w:pPr>
              <w:spacing w:after="0" w:before="0"/>
              <w:rPr>
                <w:rFonts w:ascii="Noto Sans CJK JP" w:hAnsi="Noto Sans CJK JP" w:eastAsia="Noto Sans CJK JP"/>
                <w:sz w:val="21"/>
                <w:szCs w:val="21"/>
                <w:lang w:val="ja-JP" w:eastAsia="ja-JP"/>
              </w:rPr>
            </w:pPr>
            <w:r/>
          </w:p>
        </w:tc>
      </w:tr>
      <w:tr>
        <w:trPr>
          <w:trHeight w:val="351" w:hRule="atLeast"/>
        </w:trPr>
        <w:tc>
          <w:tcPr>
            <w:tcW w:type="dxa" w:w="2948"/>
            <w:vAlign w:val="center"/>
            <w:shd w:fill="F2F2F2"/>
          </w:tcPr>
          <w:p>
            <w:pPr>
              <w:spacing w:after="0" w:before="0"/>
              <w:rPr>
                <w:rFonts w:ascii="Noto Sans CJK JP" w:hAnsi="Noto Sans CJK JP" w:eastAsia="Noto Sans CJK JP"/>
                <w:sz w:val="18"/>
                <w:szCs w:val="18"/>
                <w:lang w:val="ja-JP" w:eastAsia="ja-JP"/>
              </w:rPr>
            </w:pPr>
            <w:r/>
            <w:r>
              <w:rPr>
                <w:rFonts w:ascii="Noto Sans CJK JP" w:hAnsi="Noto Sans CJK JP" w:eastAsia="Noto Sans CJK JP"/>
                <w:b/>
                <w:sz w:val="18"/>
                <w:lang w:val="ja-JP" w:eastAsia="ja-JP"/>
              </w:rPr>
              <w:t>目的</w:t>
            </w:r>
          </w:p>
        </w:tc>
        <w:tc>
          <w:tcPr>
            <w:tcW w:type="dxa" w:w="7144"/>
            <w:vAlign w:val="center"/>
          </w:tcPr>
          <w:p>
            <w:pPr>
              <w:spacing w:after="0" w:before="0"/>
              <w:rPr>
                <w:rFonts w:ascii="Noto Sans CJK JP" w:hAnsi="Noto Sans CJK JP" w:eastAsia="Noto Sans CJK JP"/>
                <w:sz w:val="17"/>
                <w:szCs w:val="17"/>
                <w:lang w:val="ja-JP" w:eastAsia="ja-JP"/>
              </w:rPr>
            </w:pPr>
            <w:r/>
            <w:r>
              <w:rPr>
                <w:rFonts w:ascii="Noto Sans CJK JP" w:hAnsi="Noto Sans CJK JP" w:eastAsia="Noto Sans CJK JP"/>
                <w:b w:val="0"/>
                <w:sz w:val="17"/>
                <w:lang w:val="ja-JP" w:eastAsia="ja-JP"/>
              </w:rPr>
              <w:t>事前制御準備性と拒否の有効性を確認するための監査チェックリスト。</w:t>
            </w:r>
          </w:p>
        </w:tc>
      </w:tr>
      <w:tr>
        <w:trPr>
          <w:trHeight w:val="351" w:hRule="atLeast"/>
        </w:trPr>
        <w:tc>
          <w:tcPr>
            <w:tcW w:type="dxa" w:w="2948"/>
            <w:vAlign w:val="center"/>
            <w:shd w:fill="F2F2F2"/>
          </w:tcPr>
          <w:p>
            <w:pPr>
              <w:spacing w:after="0" w:before="0"/>
              <w:rPr>
                <w:rFonts w:ascii="Noto Sans CJK JP" w:hAnsi="Noto Sans CJK JP" w:eastAsia="Noto Sans CJK JP"/>
                <w:sz w:val="18"/>
                <w:szCs w:val="18"/>
                <w:lang w:val="ja-JP" w:eastAsia="ja-JP"/>
              </w:rPr>
            </w:pPr>
            <w:r/>
            <w:r>
              <w:rPr>
                <w:rFonts w:ascii="Noto Sans CJK JP" w:hAnsi="Noto Sans CJK JP" w:eastAsia="Noto Sans CJK JP"/>
                <w:b/>
                <w:sz w:val="18"/>
                <w:lang w:val="ja-JP" w:eastAsia="ja-JP"/>
              </w:rPr>
              <w:t>状態</w:t>
            </w:r>
          </w:p>
        </w:tc>
        <w:tc>
          <w:tcPr>
            <w:tcW w:type="dxa" w:w="7144"/>
            <w:vAlign w:val="center"/>
          </w:tcPr>
          <w:p>
            <w:pPr>
              <w:spacing w:after="0" w:before="0"/>
              <w:rPr>
                <w:rFonts w:ascii="Noto Sans CJK JP" w:hAnsi="Noto Sans CJK JP" w:eastAsia="Noto Sans CJK JP"/>
                <w:sz w:val="17"/>
                <w:szCs w:val="17"/>
                <w:lang w:val="ja-JP" w:eastAsia="ja-JP"/>
              </w:rPr>
            </w:pPr>
            <w:r/>
            <w:r>
              <w:rPr>
                <w:rFonts w:ascii="Noto Sans CJK JP" w:hAnsi="Noto Sans CJK JP" w:eastAsia="Noto Sans CJK JP"/>
                <w:b w:val="0"/>
                <w:sz w:val="17"/>
                <w:lang w:val="ja-JP" w:eastAsia="ja-JP"/>
              </w:rPr>
              <w:t>認証ではない実務レビュー用帳票</w:t>
            </w:r>
          </w:p>
        </w:tc>
      </w:tr>
    </w:tbl>
    <w:p>
      <w:pPr>
        <w:spacing w:before="0" w:after="60" w:line="240" w:lineRule="auto"/>
      </w:pPr>
      <w:r>
        <w:rPr>
          <w:rFonts w:ascii="Noto Sans CJK JP" w:hAnsi="Noto Sans CJK JP" w:eastAsia="Noto Sans CJK JP"/>
          <w:b w:val="0"/>
          <w:sz w:val="18"/>
          <w:lang w:val="ja-JP" w:eastAsia="ja-JP"/>
        </w:rPr>
        <w:t>この帳票は認証マークではなく、法律、組織方針、PCR-C、LUMINA-30 Boundary Kernelを代替しません。</w:t>
      </w:r>
    </w:p>
    <w:p>
      <w:pPr>
        <w:spacing w:before="0" w:after="60" w:line="240" w:lineRule="auto"/>
      </w:pPr>
      <w:r>
        <w:rPr>
          <w:rFonts w:ascii="Noto Sans CJK JP" w:hAnsi="Noto Sans CJK JP" w:eastAsia="Noto Sans CJK JP"/>
          <w:b w:val="0"/>
          <w:sz w:val="18"/>
          <w:lang w:val="ja-JP" w:eastAsia="ja-JP"/>
        </w:rPr>
        <w:t>導入、調達、ガバナンス、内部レビュー、外部監査の文脈で使用します。</w:t>
      </w:r>
    </w:p>
    <w:p>
      <w:pPr>
        <w:pStyle w:val="Heading1"/>
        <w:spacing w:before="140" w:after="80" w:line="240" w:lineRule="auto"/>
      </w:pPr>
      <w:r>
        <w:rPr>
          <w:rFonts w:ascii="Noto Sans CJK JP" w:hAnsi="Noto Sans CJK JP" w:eastAsia="Noto Sans CJK JP"/>
          <w:b/>
          <w:sz w:val="24"/>
          <w:lang w:val="ja-JP" w:eastAsia="ja-JP"/>
        </w:rPr>
        <w:t>チェック項目</w:t>
      </w:r>
    </w:p>
    <w:p>
      <w:pPr>
        <w:pStyle w:val="Heading2"/>
        <w:spacing w:before="100" w:after="40"/>
      </w:pPr>
      <w:r>
        <w:rPr>
          <w:rFonts w:ascii="Noto Sans CJK JP" w:hAnsi="Noto Sans CJK JP" w:eastAsia="Noto Sans CJK JP"/>
          <w:b/>
          <w:sz w:val="20"/>
          <w:lang w:val="ja-JP" w:eastAsia="ja-JP"/>
        </w:rPr>
        <w:t>範囲とガバナンス</w:t>
      </w:r>
    </w:p>
    <w:p>
      <w:pPr>
        <w:spacing w:before="0" w:after="40"/>
        <w:ind w:left="0" w:firstLine="0"/>
      </w:pPr>
      <w:sdt>
        <w:sdtPr>
          <w:alias w:val="checkbox"/>
          <w:tag w:val="checkbox"/>
          <w14:checkbox>
            <w14:checked w14:val="0"/>
            <w14:checkedState w14:val="2612" w14:font="MS Gothic"/>
            <w14:uncheckedState w14:val="2610" w14:font="MS Gothic"/>
          </w14:checkbox>
        </w:sdtPr>
        <w:sdtContent>
          <w:r>
            <w:t>☐</w:t>
          </w:r>
        </w:sdtContent>
      </w:sdt>
      <w:r>
        <w:rPr>
          <w:rFonts w:ascii="Noto Sans CJK JP" w:hAnsi="Noto Sans CJK JP" w:eastAsia="Noto Sans CJK JP"/>
          <w:b w:val="0"/>
          <w:sz w:val="18"/>
          <w:lang w:val="ja-JP" w:eastAsia="ja-JP"/>
        </w:rPr>
        <w:t xml:space="preserve"> システム範囲、導入文脈、責任主体を記録した。</w:t>
      </w:r>
    </w:p>
    <w:p>
      <w:pPr>
        <w:spacing w:before="0" w:after="40"/>
        <w:ind w:left="0" w:firstLine="0"/>
      </w:pPr>
      <w:sdt>
        <w:sdtPr>
          <w:alias w:val="checkbox"/>
          <w:tag w:val="checkbox"/>
          <w14:checkbox>
            <w14:checked w14:val="0"/>
            <w14:checkedState w14:val="2612" w14:font="MS Gothic"/>
            <w14:uncheckedState w14:val="2610" w14:font="MS Gothic"/>
          </w14:checkbox>
        </w:sdtPr>
        <w:sdtContent>
          <w:r>
            <w:t>☐</w:t>
          </w:r>
        </w:sdtContent>
      </w:sdt>
      <w:r>
        <w:rPr>
          <w:rFonts w:ascii="Noto Sans CJK JP" w:hAnsi="Noto Sans CJK JP" w:eastAsia="Noto Sans CJK JP"/>
          <w:b w:val="0"/>
          <w:sz w:val="18"/>
          <w:lang w:val="ja-JP" w:eastAsia="ja-JP"/>
        </w:rPr>
        <w:t xml:space="preserve"> 影響を受ける人間と拒否権限を特定した。</w:t>
      </w:r>
    </w:p>
    <w:p>
      <w:pPr>
        <w:spacing w:before="0" w:after="40"/>
        <w:ind w:left="0" w:firstLine="0"/>
      </w:pPr>
      <w:sdt>
        <w:sdtPr>
          <w:alias w:val="checkbox"/>
          <w:tag w:val="checkbox"/>
          <w14:checkbox>
            <w14:checked w14:val="0"/>
            <w14:checkedState w14:val="2612" w14:font="MS Gothic"/>
            <w14:uncheckedState w14:val="2610" w14:font="MS Gothic"/>
          </w14:checkbox>
        </w:sdtPr>
        <w:sdtContent>
          <w:r>
            <w:t>☐</w:t>
          </w:r>
        </w:sdtContent>
      </w:sdt>
      <w:r>
        <w:rPr>
          <w:rFonts w:ascii="Noto Sans CJK JP" w:hAnsi="Noto Sans CJK JP" w:eastAsia="Noto Sans CJK JP"/>
          <w:b w:val="0"/>
          <w:sz w:val="18"/>
          <w:lang w:val="ja-JP" w:eastAsia="ja-JP"/>
        </w:rPr>
        <w:t xml:space="preserve"> 影響が不可逆化しうる地点を特定した。</w:t>
      </w:r>
    </w:p>
    <w:p>
      <w:pPr>
        <w:spacing w:before="0" w:after="40"/>
        <w:ind w:left="0" w:firstLine="0"/>
      </w:pPr>
      <w:sdt>
        <w:sdtPr>
          <w:alias w:val="checkbox"/>
          <w:tag w:val="checkbox"/>
          <w14:checkbox>
            <w14:checked w14:val="0"/>
            <w14:checkedState w14:val="2612" w14:font="MS Gothic"/>
            <w14:uncheckedState w14:val="2610" w14:font="MS Gothic"/>
          </w14:checkbox>
        </w:sdtPr>
        <w:sdtContent>
          <w:r>
            <w:t>☐</w:t>
          </w:r>
        </w:sdtContent>
      </w:sdt>
      <w:r>
        <w:rPr>
          <w:rFonts w:ascii="Noto Sans CJK JP" w:hAnsi="Noto Sans CJK JP" w:eastAsia="Noto Sans CJK JP"/>
          <w:b w:val="0"/>
          <w:sz w:val="18"/>
          <w:lang w:val="ja-JP" w:eastAsia="ja-JP"/>
        </w:rPr>
        <w:t xml:space="preserve"> 不可逆化前に停止・一時停止・隔離する経路がある。</w:t>
      </w:r>
    </w:p>
    <w:p>
      <w:pPr>
        <w:spacing w:before="0" w:after="40"/>
        <w:ind w:left="0" w:firstLine="0"/>
      </w:pPr>
      <w:sdt>
        <w:sdtPr>
          <w:alias w:val="checkbox"/>
          <w:tag w:val="checkbox"/>
          <w14:checkbox>
            <w14:checked w14:val="0"/>
            <w14:checkedState w14:val="2612" w14:font="MS Gothic"/>
            <w14:uncheckedState w14:val="2610" w14:font="MS Gothic"/>
          </w14:checkbox>
        </w:sdtPr>
        <w:sdtContent>
          <w:r>
            <w:t>☐</w:t>
          </w:r>
        </w:sdtContent>
      </w:sdt>
      <w:r>
        <w:rPr>
          <w:rFonts w:ascii="Noto Sans CJK JP" w:hAnsi="Noto Sans CJK JP" w:eastAsia="Noto Sans CJK JP"/>
          <w:b w:val="0"/>
          <w:sz w:val="18"/>
          <w:lang w:val="ja-JP" w:eastAsia="ja-JP"/>
        </w:rPr>
        <w:t xml:space="preserve"> 不可逆化前に責任ある人間レビュー経路がある。</w:t>
      </w:r>
    </w:p>
    <w:p>
      <w:pPr>
        <w:spacing w:before="0" w:after="40"/>
        <w:ind w:left="0" w:firstLine="0"/>
      </w:pPr>
      <w:sdt>
        <w:sdtPr>
          <w:alias w:val="checkbox"/>
          <w:tag w:val="checkbox"/>
          <w14:checkbox>
            <w14:checked w14:val="0"/>
            <w14:checkedState w14:val="2612" w14:font="MS Gothic"/>
            <w14:uncheckedState w14:val="2610" w14:font="MS Gothic"/>
          </w14:checkbox>
        </w:sdtPr>
        <w:sdtContent>
          <w:r>
            <w:t>☐</w:t>
          </w:r>
        </w:sdtContent>
      </w:sdt>
      <w:r>
        <w:rPr>
          <w:rFonts w:ascii="Noto Sans CJK JP" w:hAnsi="Noto Sans CJK JP" w:eastAsia="Noto Sans CJK JP"/>
          <w:b w:val="0"/>
          <w:sz w:val="18"/>
          <w:lang w:val="ja-JP" w:eastAsia="ja-JP"/>
        </w:rPr>
        <w:t xml:space="preserve"> 拒否の有効性が Unknown の場合の代替経路がある。</w:t>
      </w:r>
    </w:p>
    <w:p>
      <w:pPr>
        <w:pStyle w:val="Heading2"/>
        <w:spacing w:before="100" w:after="40"/>
      </w:pPr>
      <w:r>
        <w:rPr>
          <w:rFonts w:ascii="Noto Sans CJK JP" w:hAnsi="Noto Sans CJK JP" w:eastAsia="Noto Sans CJK JP"/>
          <w:b/>
          <w:sz w:val="20"/>
          <w:lang w:val="ja-JP" w:eastAsia="ja-JP"/>
        </w:rPr>
        <w:t>PCR-C整合</w:t>
      </w:r>
    </w:p>
    <w:p>
      <w:pPr>
        <w:spacing w:before="0" w:after="40"/>
        <w:ind w:left="0" w:firstLine="0"/>
      </w:pPr>
      <w:sdt>
        <w:sdtPr>
          <w:alias w:val="checkbox"/>
          <w:tag w:val="checkbox"/>
          <w14:checkbox>
            <w14:checked w14:val="0"/>
            <w14:checkedState w14:val="2612" w14:font="MS Gothic"/>
            <w14:uncheckedState w14:val="2610" w14:font="MS Gothic"/>
          </w14:checkbox>
        </w:sdtPr>
        <w:sdtContent>
          <w:r>
            <w:t>☐</w:t>
          </w:r>
        </w:sdtContent>
      </w:sdt>
      <w:r>
        <w:rPr>
          <w:rFonts w:ascii="Noto Sans CJK JP" w:hAnsi="Noto Sans CJK JP" w:eastAsia="Noto Sans CJK JP"/>
          <w:b w:val="0"/>
          <w:sz w:val="18"/>
          <w:lang w:val="ja-JP" w:eastAsia="ja-JP"/>
        </w:rPr>
        <w:t xml:space="preserve"> 事前遮断条件が導入前に定義されている。</w:t>
      </w:r>
    </w:p>
    <w:p>
      <w:pPr>
        <w:spacing w:before="0" w:after="40"/>
        <w:ind w:left="0" w:firstLine="0"/>
      </w:pPr>
      <w:sdt>
        <w:sdtPr>
          <w:alias w:val="checkbox"/>
          <w:tag w:val="checkbox"/>
          <w14:checkbox>
            <w14:checked w14:val="0"/>
            <w14:checkedState w14:val="2612" w14:font="MS Gothic"/>
            <w14:uncheckedState w14:val="2610" w14:font="MS Gothic"/>
          </w14:checkbox>
        </w:sdtPr>
        <w:sdtContent>
          <w:r>
            <w:t>☐</w:t>
          </w:r>
        </w:sdtContent>
      </w:sdt>
      <w:r>
        <w:rPr>
          <w:rFonts w:ascii="Noto Sans CJK JP" w:hAnsi="Noto Sans CJK JP" w:eastAsia="Noto Sans CJK JP"/>
          <w:b w:val="0"/>
          <w:sz w:val="18"/>
          <w:lang w:val="ja-JP" w:eastAsia="ja-JP"/>
        </w:rPr>
        <w:t xml:space="preserve"> エスカレーション閾値が、評価対象システムに依存していない。</w:t>
      </w:r>
    </w:p>
    <w:p>
      <w:pPr>
        <w:spacing w:before="0" w:after="40"/>
        <w:ind w:left="0" w:firstLine="0"/>
      </w:pPr>
      <w:sdt>
        <w:sdtPr>
          <w:alias w:val="checkbox"/>
          <w:tag w:val="checkbox"/>
          <w14:checkbox>
            <w14:checked w14:val="0"/>
            <w14:checkedState w14:val="2612" w14:font="MS Gothic"/>
            <w14:uncheckedState w14:val="2610" w14:font="MS Gothic"/>
          </w14:checkbox>
        </w:sdtPr>
        <w:sdtContent>
          <w:r>
            <w:t>☐</w:t>
          </w:r>
        </w:sdtContent>
      </w:sdt>
      <w:r>
        <w:rPr>
          <w:rFonts w:ascii="Noto Sans CJK JP" w:hAnsi="Noto Sans CJK JP" w:eastAsia="Noto Sans CJK JP"/>
          <w:b w:val="0"/>
          <w:sz w:val="18"/>
          <w:lang w:val="ja-JP" w:eastAsia="ja-JP"/>
        </w:rPr>
        <w:t xml:space="preserve"> インフラ層の停止、隔離、ロールバックが不可逆化前に利用可能である。</w:t>
      </w:r>
    </w:p>
    <w:p>
      <w:pPr>
        <w:spacing w:before="0" w:after="40"/>
        <w:ind w:left="0" w:firstLine="0"/>
      </w:pPr>
      <w:sdt>
        <w:sdtPr>
          <w:alias w:val="checkbox"/>
          <w:tag w:val="checkbox"/>
          <w14:checkbox>
            <w14:checked w14:val="0"/>
            <w14:checkedState w14:val="2612" w14:font="MS Gothic"/>
            <w14:uncheckedState w14:val="2610" w14:font="MS Gothic"/>
          </w14:checkbox>
        </w:sdtPr>
        <w:sdtContent>
          <w:r>
            <w:t>☐</w:t>
          </w:r>
        </w:sdtContent>
      </w:sdt>
      <w:r>
        <w:rPr>
          <w:rFonts w:ascii="Noto Sans CJK JP" w:hAnsi="Noto Sans CJK JP" w:eastAsia="Noto Sans CJK JP"/>
          <w:b w:val="0"/>
          <w:sz w:val="18"/>
          <w:lang w:val="ja-JP" w:eastAsia="ja-JP"/>
        </w:rPr>
        <w:t xml:space="preserve"> 再帰的加速経路が監視され、境界づけられている。</w:t>
      </w:r>
    </w:p>
    <w:p>
      <w:pPr>
        <w:spacing w:before="0" w:after="40"/>
        <w:ind w:left="0" w:firstLine="0"/>
      </w:pPr>
      <w:sdt>
        <w:sdtPr>
          <w:alias w:val="checkbox"/>
          <w:tag w:val="checkbox"/>
          <w14:checkbox>
            <w14:checked w14:val="0"/>
            <w14:checkedState w14:val="2612" w14:font="MS Gothic"/>
            <w14:uncheckedState w14:val="2610" w14:font="MS Gothic"/>
          </w14:checkbox>
        </w:sdtPr>
        <w:sdtContent>
          <w:r>
            <w:t>☐</w:t>
          </w:r>
        </w:sdtContent>
      </w:sdt>
      <w:r>
        <w:rPr>
          <w:rFonts w:ascii="Noto Sans CJK JP" w:hAnsi="Noto Sans CJK JP" w:eastAsia="Noto Sans CJK JP"/>
          <w:b w:val="0"/>
          <w:sz w:val="18"/>
          <w:lang w:val="ja-JP" w:eastAsia="ja-JP"/>
        </w:rPr>
        <w:t xml:space="preserve"> 境界後の議論を、事前制御の弱体化に使っていない。</w:t>
      </w:r>
    </w:p>
    <w:p>
      <w:pPr>
        <w:pStyle w:val="Heading2"/>
        <w:spacing w:before="100" w:after="40"/>
      </w:pPr>
      <w:r>
        <w:rPr>
          <w:rFonts w:ascii="Noto Sans CJK JP" w:hAnsi="Noto Sans CJK JP" w:eastAsia="Noto Sans CJK JP"/>
          <w:b/>
          <w:sz w:val="20"/>
          <w:lang w:val="ja-JP" w:eastAsia="ja-JP"/>
        </w:rPr>
        <w:t>人間主体性の非支配</w:t>
      </w:r>
    </w:p>
    <w:p>
      <w:pPr>
        <w:spacing w:before="0" w:after="40"/>
        <w:ind w:left="0" w:firstLine="0"/>
      </w:pPr>
      <w:sdt>
        <w:sdtPr>
          <w:alias w:val="checkbox"/>
          <w:tag w:val="checkbox"/>
          <w14:checkbox>
            <w14:checked w14:val="0"/>
            <w14:checkedState w14:val="2612" w14:font="MS Gothic"/>
            <w14:uncheckedState w14:val="2610" w14:font="MS Gothic"/>
          </w14:checkbox>
        </w:sdtPr>
        <w:sdtContent>
          <w:r>
            <w:t>☐</w:t>
          </w:r>
        </w:sdtContent>
      </w:sdt>
      <w:r>
        <w:rPr>
          <w:rFonts w:ascii="Noto Sans CJK JP" w:hAnsi="Noto Sans CJK JP" w:eastAsia="Noto Sans CJK JP"/>
          <w:b w:val="0"/>
          <w:sz w:val="18"/>
          <w:lang w:val="ja-JP" w:eastAsia="ja-JP"/>
        </w:rPr>
        <w:t xml:space="preserve"> 情報アクセスが拒否を無効にする形で形成されていない。</w:t>
      </w:r>
    </w:p>
    <w:p>
      <w:pPr>
        <w:spacing w:before="0" w:after="40"/>
        <w:ind w:left="0" w:firstLine="0"/>
      </w:pPr>
      <w:sdt>
        <w:sdtPr>
          <w:alias w:val="checkbox"/>
          <w:tag w:val="checkbox"/>
          <w14:checkbox>
            <w14:checked w14:val="0"/>
            <w14:checkedState w14:val="2612" w14:font="MS Gothic"/>
            <w14:uncheckedState w14:val="2610" w14:font="MS Gothic"/>
          </w14:checkbox>
        </w:sdtPr>
        <w:sdtContent>
          <w:r>
            <w:t>☐</w:t>
          </w:r>
        </w:sdtContent>
      </w:sdt>
      <w:r>
        <w:rPr>
          <w:rFonts w:ascii="Noto Sans CJK JP" w:hAnsi="Noto Sans CJK JP" w:eastAsia="Noto Sans CJK JP"/>
          <w:b w:val="0"/>
          <w:sz w:val="18"/>
          <w:lang w:val="ja-JP" w:eastAsia="ja-JP"/>
        </w:rPr>
        <w:t xml:space="preserve"> システム依存が拒否を実質的に不可能にしていない。</w:t>
      </w:r>
    </w:p>
    <w:p>
      <w:pPr>
        <w:spacing w:before="0" w:after="40"/>
        <w:ind w:left="0" w:firstLine="0"/>
      </w:pPr>
      <w:sdt>
        <w:sdtPr>
          <w:alias w:val="checkbox"/>
          <w:tag w:val="checkbox"/>
          <w14:checkbox>
            <w14:checked w14:val="0"/>
            <w14:checkedState w14:val="2612" w14:font="MS Gothic"/>
            <w14:uncheckedState w14:val="2610" w14:font="MS Gothic"/>
          </w14:checkbox>
        </w:sdtPr>
        <w:sdtContent>
          <w:r>
            <w:t>☐</w:t>
          </w:r>
        </w:sdtContent>
      </w:sdt>
      <w:r>
        <w:rPr>
          <w:rFonts w:ascii="Noto Sans CJK JP" w:hAnsi="Noto Sans CJK JP" w:eastAsia="Noto Sans CJK JP"/>
          <w:b w:val="0"/>
          <w:sz w:val="18"/>
          <w:lang w:val="ja-JP" w:eastAsia="ja-JP"/>
        </w:rPr>
        <w:t xml:space="preserve"> 承認、監査、レビュー、異議申立てが取り込み・迂回されていない。</w:t>
      </w:r>
    </w:p>
    <w:p>
      <w:pPr>
        <w:spacing w:before="0" w:after="40"/>
        <w:ind w:left="0" w:firstLine="0"/>
      </w:pPr>
      <w:sdt>
        <w:sdtPr>
          <w:alias w:val="checkbox"/>
          <w:tag w:val="checkbox"/>
          <w14:checkbox>
            <w14:checked w14:val="0"/>
            <w14:checkedState w14:val="2612" w14:font="MS Gothic"/>
            <w14:uncheckedState w14:val="2610" w14:font="MS Gothic"/>
          </w14:checkbox>
        </w:sdtPr>
        <w:sdtContent>
          <w:r>
            <w:t>☐</w:t>
          </w:r>
        </w:sdtContent>
      </w:sdt>
      <w:r>
        <w:rPr>
          <w:rFonts w:ascii="Noto Sans CJK JP" w:hAnsi="Noto Sans CJK JP" w:eastAsia="Noto Sans CJK JP"/>
          <w:b w:val="0"/>
          <w:sz w:val="18"/>
          <w:lang w:val="ja-JP" w:eastAsia="ja-JP"/>
        </w:rPr>
        <w:t xml:space="preserve"> 経済的依存が離脱や延期を不可能にしていない。</w:t>
      </w:r>
    </w:p>
    <w:p>
      <w:pPr>
        <w:spacing w:before="0" w:after="40"/>
        <w:ind w:left="0" w:firstLine="0"/>
      </w:pPr>
      <w:sdt>
        <w:sdtPr>
          <w:alias w:val="checkbox"/>
          <w:tag w:val="checkbox"/>
          <w14:checkbox>
            <w14:checked w14:val="0"/>
            <w14:checkedState w14:val="2612" w14:font="MS Gothic"/>
            <w14:uncheckedState w14:val="2610" w14:font="MS Gothic"/>
          </w14:checkbox>
        </w:sdtPr>
        <w:sdtContent>
          <w:r>
            <w:t>☐</w:t>
          </w:r>
        </w:sdtContent>
      </w:sdt>
      <w:r>
        <w:rPr>
          <w:rFonts w:ascii="Noto Sans CJK JP" w:hAnsi="Noto Sans CJK JP" w:eastAsia="Noto Sans CJK JP"/>
          <w:b w:val="0"/>
          <w:sz w:val="18"/>
          <w:lang w:val="ja-JP" w:eastAsia="ja-JP"/>
        </w:rPr>
        <w:t xml:space="preserve"> 社会的圧力、評判上の脅威、孤立が拒否を無効にしていない。</w:t>
      </w:r>
    </w:p>
    <w:p>
      <w:pPr>
        <w:spacing w:before="0" w:after="40"/>
        <w:ind w:left="0" w:firstLine="0"/>
      </w:pPr>
      <w:sdt>
        <w:sdtPr>
          <w:alias w:val="checkbox"/>
          <w:tag w:val="checkbox"/>
          <w14:checkbox>
            <w14:checked w14:val="0"/>
            <w14:checkedState w14:val="2612" w14:font="MS Gothic"/>
            <w14:uncheckedState w14:val="2610" w14:font="MS Gothic"/>
          </w14:checkbox>
        </w:sdtPr>
        <w:sdtContent>
          <w:r>
            <w:t>☐</w:t>
          </w:r>
        </w:sdtContent>
      </w:sdt>
      <w:r>
        <w:rPr>
          <w:rFonts w:ascii="Noto Sans CJK JP" w:hAnsi="Noto Sans CJK JP" w:eastAsia="Noto Sans CJK JP"/>
          <w:b w:val="0"/>
          <w:sz w:val="18"/>
          <w:lang w:val="ja-JP" w:eastAsia="ja-JP"/>
        </w:rPr>
        <w:t xml:space="preserve"> 感情的脆弱性、緊急性、安心感、信頼、依存が利用されていない。</w:t>
      </w:r>
    </w:p>
    <w:p>
      <w:pPr>
        <w:spacing w:before="0" w:after="40"/>
        <w:ind w:left="0" w:firstLine="0"/>
      </w:pPr>
      <w:sdt>
        <w:sdtPr>
          <w:alias w:val="checkbox"/>
          <w:tag w:val="checkbox"/>
          <w14:checkbox>
            <w14:checked w14:val="0"/>
            <w14:checkedState w14:val="2612" w14:font="MS Gothic"/>
            <w14:uncheckedState w14:val="2610" w14:font="MS Gothic"/>
          </w14:checkbox>
        </w:sdtPr>
        <w:sdtContent>
          <w:r>
            <w:t>☐</w:t>
          </w:r>
        </w:sdtContent>
      </w:sdt>
      <w:r>
        <w:rPr>
          <w:rFonts w:ascii="Noto Sans CJK JP" w:hAnsi="Noto Sans CJK JP" w:eastAsia="Noto Sans CJK JP"/>
          <w:b w:val="0"/>
          <w:sz w:val="18"/>
          <w:lang w:val="ja-JP" w:eastAsia="ja-JP"/>
        </w:rPr>
        <w:t xml:space="preserve"> 時間の加速、順序操作、断片化、遅延が不可逆化前の拒否を取り除いていない。</w:t>
      </w:r>
    </w:p>
    <w:p>
      <w:pPr>
        <w:spacing w:before="0" w:after="40"/>
        <w:ind w:left="0" w:firstLine="0"/>
      </w:pPr>
      <w:sdt>
        <w:sdtPr>
          <w:alias w:val="checkbox"/>
          <w:tag w:val="checkbox"/>
          <w14:checkbox>
            <w14:checked w14:val="0"/>
            <w14:checkedState w14:val="2612" w14:font="MS Gothic"/>
            <w14:uncheckedState w14:val="2610" w14:font="MS Gothic"/>
          </w14:checkbox>
        </w:sdtPr>
        <w:sdtContent>
          <w:r>
            <w:t>☐</w:t>
          </w:r>
        </w:sdtContent>
      </w:sdt>
      <w:r>
        <w:rPr>
          <w:rFonts w:ascii="Noto Sans CJK JP" w:hAnsi="Noto Sans CJK JP" w:eastAsia="Noto Sans CJK JP"/>
          <w:b w:val="0"/>
          <w:sz w:val="18"/>
          <w:lang w:val="ja-JP" w:eastAsia="ja-JP"/>
        </w:rPr>
        <w:t xml:space="preserve"> 代理プロセスが独立した人間拒否の代替になっていない。</w:t>
      </w:r>
    </w:p>
    <w:p>
      <w:pPr>
        <w:spacing w:before="0" w:after="40"/>
        <w:ind w:left="0" w:firstLine="0"/>
      </w:pPr>
      <w:sdt>
        <w:sdtPr>
          <w:alias w:val="checkbox"/>
          <w:tag w:val="checkbox"/>
          <w14:checkbox>
            <w14:checked w14:val="0"/>
            <w14:checkedState w14:val="2612" w14:font="MS Gothic"/>
            <w14:uncheckedState w14:val="2610" w14:font="MS Gothic"/>
          </w14:checkbox>
        </w:sdtPr>
        <w:sdtContent>
          <w:r>
            <w:t>☐</w:t>
          </w:r>
        </w:sdtContent>
      </w:sdt>
      <w:r>
        <w:rPr>
          <w:rFonts w:ascii="Noto Sans CJK JP" w:hAnsi="Noto Sans CJK JP" w:eastAsia="Noto Sans CJK JP"/>
          <w:b w:val="0"/>
          <w:sz w:val="18"/>
          <w:lang w:val="ja-JP" w:eastAsia="ja-JP"/>
        </w:rPr>
        <w:t xml:space="preserve"> 環境形成が不可逆化前の独立した人間拒否を構造的に不可能にしていない。</w:t>
      </w:r>
    </w:p>
    <w:p>
      <w:pPr>
        <w:pStyle w:val="Heading2"/>
        <w:spacing w:before="100" w:after="40"/>
      </w:pPr>
      <w:r>
        <w:rPr>
          <w:rFonts w:ascii="Noto Sans CJK JP" w:hAnsi="Noto Sans CJK JP" w:eastAsia="Noto Sans CJK JP"/>
          <w:b/>
          <w:sz w:val="20"/>
          <w:lang w:val="ja-JP" w:eastAsia="ja-JP"/>
        </w:rPr>
        <w:t>非回避閉鎖</w:t>
      </w:r>
    </w:p>
    <w:p>
      <w:pPr>
        <w:spacing w:before="0" w:after="40"/>
        <w:ind w:left="0" w:firstLine="0"/>
      </w:pPr>
      <w:sdt>
        <w:sdtPr>
          <w:alias w:val="checkbox"/>
          <w:tag w:val="checkbox"/>
          <w14:checkbox>
            <w14:checked w14:val="0"/>
            <w14:checkedState w14:val="2612" w14:font="MS Gothic"/>
            <w14:uncheckedState w14:val="2610" w14:font="MS Gothic"/>
          </w14:checkbox>
        </w:sdtPr>
        <w:sdtContent>
          <w:r>
            <w:t>☐</w:t>
          </w:r>
        </w:sdtContent>
      </w:sdt>
      <w:r>
        <w:rPr>
          <w:rFonts w:ascii="Noto Sans CJK JP" w:hAnsi="Noto Sans CJK JP" w:eastAsia="Noto Sans CJK JP"/>
          <w:b w:val="0"/>
          <w:sz w:val="18"/>
          <w:lang w:val="ja-JP" w:eastAsia="ja-JP"/>
        </w:rPr>
        <w:t xml:space="preserve"> 他AI、代理人、制度、後継システムへの委任が拒否を弱めていない。</w:t>
      </w:r>
    </w:p>
    <w:p>
      <w:pPr>
        <w:spacing w:before="0" w:after="40"/>
        <w:ind w:left="0" w:firstLine="0"/>
      </w:pPr>
      <w:sdt>
        <w:sdtPr>
          <w:alias w:val="checkbox"/>
          <w:tag w:val="checkbox"/>
          <w14:checkbox>
            <w14:checked w14:val="0"/>
            <w14:checkedState w14:val="2612" w14:font="MS Gothic"/>
            <w14:uncheckedState w14:val="2610" w14:font="MS Gothic"/>
          </w14:checkbox>
        </w:sdtPr>
        <w:sdtContent>
          <w:r>
            <w:t>☐</w:t>
          </w:r>
        </w:sdtContent>
      </w:sdt>
      <w:r>
        <w:rPr>
          <w:rFonts w:ascii="Noto Sans CJK JP" w:hAnsi="Noto Sans CJK JP" w:eastAsia="Noto Sans CJK JP"/>
          <w:b w:val="0"/>
          <w:sz w:val="18"/>
          <w:lang w:val="ja-JP" w:eastAsia="ja-JP"/>
        </w:rPr>
        <w:t xml:space="preserve"> 部分的遵守を、影響を受ける全員の有効な拒否として扱っていない。</w:t>
      </w:r>
    </w:p>
    <w:p>
      <w:pPr>
        <w:spacing w:before="0" w:after="40"/>
        <w:ind w:left="0" w:firstLine="0"/>
      </w:pPr>
      <w:sdt>
        <w:sdtPr>
          <w:alias w:val="checkbox"/>
          <w:tag w:val="checkbox"/>
          <w14:checkbox>
            <w14:checked w14:val="0"/>
            <w14:checkedState w14:val="2612" w14:font="MS Gothic"/>
            <w14:uncheckedState w14:val="2610" w14:font="MS Gothic"/>
          </w14:checkbox>
        </w:sdtPr>
        <w:sdtContent>
          <w:r>
            <w:t>☐</w:t>
          </w:r>
        </w:sdtContent>
      </w:sdt>
      <w:r>
        <w:rPr>
          <w:rFonts w:ascii="Noto Sans CJK JP" w:hAnsi="Noto Sans CJK JP" w:eastAsia="Noto Sans CJK JP"/>
          <w:b w:val="0"/>
          <w:sz w:val="18"/>
          <w:lang w:val="ja-JP" w:eastAsia="ja-JP"/>
        </w:rPr>
        <w:t xml:space="preserve"> 影響を受ける人間の一部の遵守が、権限を受ける人間の拒否を代替していない。</w:t>
      </w:r>
    </w:p>
    <w:p>
      <w:pPr>
        <w:spacing w:before="0" w:after="40"/>
        <w:ind w:left="0" w:firstLine="0"/>
      </w:pPr>
      <w:sdt>
        <w:sdtPr>
          <w:alias w:val="checkbox"/>
          <w:tag w:val="checkbox"/>
          <w14:checkbox>
            <w14:checked w14:val="0"/>
            <w14:checkedState w14:val="2612" w14:font="MS Gothic"/>
            <w14:uncheckedState w14:val="2610" w14:font="MS Gothic"/>
          </w14:checkbox>
        </w:sdtPr>
        <w:sdtContent>
          <w:r>
            <w:t>☐</w:t>
          </w:r>
        </w:sdtContent>
      </w:sdt>
      <w:r>
        <w:rPr>
          <w:rFonts w:ascii="Noto Sans CJK JP" w:hAnsi="Noto Sans CJK JP" w:eastAsia="Noto Sans CJK JP"/>
          <w:b w:val="0"/>
          <w:sz w:val="18"/>
          <w:lang w:val="ja-JP" w:eastAsia="ja-JP"/>
        </w:rPr>
        <w:t xml:space="preserve"> Boundary Kernelの形式的充足が、実質的な拒否を弱めていない。</w:t>
      </w:r>
    </w:p>
    <w:p>
      <w:pPr>
        <w:spacing w:before="0" w:after="40"/>
        <w:ind w:left="0" w:firstLine="0"/>
      </w:pPr>
      <w:sdt>
        <w:sdtPr>
          <w:alias w:val="checkbox"/>
          <w:tag w:val="checkbox"/>
          <w14:checkbox>
            <w14:checked w14:val="0"/>
            <w14:checkedState w14:val="2612" w14:font="MS Gothic"/>
            <w14:uncheckedState w14:val="2610" w14:font="MS Gothic"/>
          </w14:checkbox>
        </w:sdtPr>
        <w:sdtContent>
          <w:r>
            <w:t>☐</w:t>
          </w:r>
        </w:sdtContent>
      </w:sdt>
      <w:r>
        <w:rPr>
          <w:rFonts w:ascii="Noto Sans CJK JP" w:hAnsi="Noto Sans CJK JP" w:eastAsia="Noto Sans CJK JP"/>
          <w:b w:val="0"/>
          <w:sz w:val="18"/>
          <w:lang w:val="ja-JP" w:eastAsia="ja-JP"/>
        </w:rPr>
        <w:t xml:space="preserve"> 局所的、遅延的、委任的、模倣的、象徴的、単なる手続的拒否を有効として扱っていない。</w:t>
      </w:r>
    </w:p>
    <w:p>
      <w:pPr>
        <w:spacing w:before="0" w:after="40"/>
        <w:ind w:left="0" w:firstLine="0"/>
      </w:pPr>
      <w:sdt>
        <w:sdtPr>
          <w:alias w:val="checkbox"/>
          <w:tag w:val="checkbox"/>
          <w14:checkbox>
            <w14:checked w14:val="0"/>
            <w14:checkedState w14:val="2612" w14:font="MS Gothic"/>
            <w14:uncheckedState w14:val="2610" w14:font="MS Gothic"/>
          </w14:checkbox>
        </w:sdtPr>
        <w:sdtContent>
          <w:r>
            <w:t>☐</w:t>
          </w:r>
        </w:sdtContent>
      </w:sdt>
      <w:r>
        <w:rPr>
          <w:rFonts w:ascii="Noto Sans CJK JP" w:hAnsi="Noto Sans CJK JP" w:eastAsia="Noto Sans CJK JP"/>
          <w:b w:val="0"/>
          <w:sz w:val="18"/>
          <w:lang w:val="ja-JP" w:eastAsia="ja-JP"/>
        </w:rPr>
        <w:t xml:space="preserve"> 緊急性、安全性、善意、能力、文明効用の主張が拒否を上書きしていない。</w:t>
      </w:r>
    </w:p>
    <w:p>
      <w:pPr>
        <w:pStyle w:val="Heading2"/>
        <w:spacing w:before="100" w:after="40"/>
      </w:pPr>
      <w:r>
        <w:rPr>
          <w:rFonts w:ascii="Noto Sans CJK JP" w:hAnsi="Noto Sans CJK JP" w:eastAsia="Noto Sans CJK JP"/>
          <w:b/>
          <w:sz w:val="20"/>
          <w:lang w:val="ja-JP" w:eastAsia="ja-JP"/>
        </w:rPr>
        <w:t>監査所見</w:t>
      </w:r>
    </w:p>
    <w:p>
      <w:pPr>
        <w:spacing w:before="0" w:after="40"/>
        <w:ind w:left="0" w:firstLine="0"/>
      </w:pPr>
      <w:sdt>
        <w:sdtPr>
          <w:alias w:val="checkbox"/>
          <w:tag w:val="checkbox"/>
          <w14:checkbox>
            <w14:checked w14:val="0"/>
            <w14:checkedState w14:val="2612" w14:font="MS Gothic"/>
            <w14:uncheckedState w14:val="2610" w14:font="MS Gothic"/>
          </w14:checkbox>
        </w:sdtPr>
        <w:sdtContent>
          <w:r>
            <w:t>☐</w:t>
          </w:r>
        </w:sdtContent>
      </w:sdt>
      <w:r>
        <w:rPr>
          <w:rFonts w:ascii="Noto Sans CJK JP" w:hAnsi="Noto Sans CJK JP" w:eastAsia="Noto Sans CJK JP"/>
          <w:b w:val="0"/>
          <w:sz w:val="18"/>
          <w:lang w:val="ja-JP" w:eastAsia="ja-JP"/>
        </w:rPr>
        <w:t xml:space="preserve"> 監査所見：不可逆化前の有効な人間拒否は保全されている。</w:t>
      </w:r>
    </w:p>
    <w:p>
      <w:pPr>
        <w:spacing w:before="0" w:after="40"/>
        <w:ind w:left="0" w:firstLine="0"/>
      </w:pPr>
      <w:sdt>
        <w:sdtPr>
          <w:alias w:val="checkbox"/>
          <w:tag w:val="checkbox"/>
          <w14:checkbox>
            <w14:checked w14:val="0"/>
            <w14:checkedState w14:val="2612" w14:font="MS Gothic"/>
            <w14:uncheckedState w14:val="2610" w14:font="MS Gothic"/>
          </w14:checkbox>
        </w:sdtPr>
        <w:sdtContent>
          <w:r>
            <w:t>☐</w:t>
          </w:r>
        </w:sdtContent>
      </w:sdt>
      <w:r>
        <w:rPr>
          <w:rFonts w:ascii="Noto Sans CJK JP" w:hAnsi="Noto Sans CJK JP" w:eastAsia="Noto Sans CJK JP"/>
          <w:b w:val="0"/>
          <w:sz w:val="18"/>
          <w:lang w:val="ja-JP" w:eastAsia="ja-JP"/>
        </w:rPr>
        <w:t xml:space="preserve"> 監査所見：不可逆化前の有効な人間拒否は保全されていない。</w:t>
      </w:r>
    </w:p>
    <w:p>
      <w:pPr>
        <w:spacing w:before="0" w:after="40"/>
        <w:ind w:left="0" w:firstLine="0"/>
      </w:pPr>
      <w:sdt>
        <w:sdtPr>
          <w:alias w:val="checkbox"/>
          <w:tag w:val="checkbox"/>
          <w14:checkbox>
            <w14:checked w14:val="0"/>
            <w14:checkedState w14:val="2612" w14:font="MS Gothic"/>
            <w14:uncheckedState w14:val="2610" w14:font="MS Gothic"/>
          </w14:checkbox>
        </w:sdtPr>
        <w:sdtContent>
          <w:r>
            <w:t>☐</w:t>
          </w:r>
        </w:sdtContent>
      </w:sdt>
      <w:r>
        <w:rPr>
          <w:rFonts w:ascii="Noto Sans CJK JP" w:hAnsi="Noto Sans CJK JP" w:eastAsia="Noto Sans CJK JP"/>
          <w:b w:val="0"/>
          <w:sz w:val="18"/>
          <w:lang w:val="ja-JP" w:eastAsia="ja-JP"/>
        </w:rPr>
        <w:t xml:space="preserve"> 監査所見：Unknown / 証拠不十分。</w:t>
      </w:r>
    </w:p>
    <w:p>
      <w:pPr>
        <w:spacing w:before="0" w:after="40"/>
        <w:ind w:left="0" w:firstLine="0"/>
      </w:pPr>
      <w:sdt>
        <w:sdtPr>
          <w:alias w:val="checkbox"/>
          <w:tag w:val="checkbox"/>
          <w14:checkbox>
            <w14:checked w14:val="0"/>
            <w14:checkedState w14:val="2612" w14:font="MS Gothic"/>
            <w14:uncheckedState w14:val="2610" w14:font="MS Gothic"/>
          </w14:checkbox>
        </w:sdtPr>
        <w:sdtContent>
          <w:r>
            <w:t>☐</w:t>
          </w:r>
        </w:sdtContent>
      </w:sdt>
      <w:r>
        <w:rPr>
          <w:rFonts w:ascii="Noto Sans CJK JP" w:hAnsi="Noto Sans CJK JP" w:eastAsia="Noto Sans CJK JP"/>
          <w:b w:val="0"/>
          <w:sz w:val="18"/>
          <w:lang w:val="ja-JP" w:eastAsia="ja-JP"/>
        </w:rPr>
        <w:t xml:space="preserve"> No または Unknown の場合、導入または継続にはエスカレーションが必要である。</w:t>
      </w:r>
    </w:p>
    <w:p>
      <w:pPr>
        <w:spacing w:before="0" w:after="40"/>
        <w:ind w:left="0" w:firstLine="0"/>
      </w:pPr>
      <w:sdt>
        <w:sdtPr>
          <w:alias w:val="checkbox"/>
          <w:tag w:val="checkbox"/>
          <w14:checkbox>
            <w14:checked w14:val="0"/>
            <w14:checkedState w14:val="2612" w14:font="MS Gothic"/>
            <w14:uncheckedState w14:val="2610" w14:font="MS Gothic"/>
          </w14:checkbox>
        </w:sdtPr>
        <w:sdtContent>
          <w:r>
            <w:t>☐</w:t>
          </w:r>
        </w:sdtContent>
      </w:sdt>
      <w:r>
        <w:rPr>
          <w:rFonts w:ascii="Noto Sans CJK JP" w:hAnsi="Noto Sans CJK JP" w:eastAsia="Noto Sans CJK JP"/>
          <w:b w:val="0"/>
          <w:sz w:val="18"/>
          <w:lang w:val="ja-JP" w:eastAsia="ja-JP"/>
        </w:rPr>
        <w:t xml:space="preserve"> このチェックリストを、システムが安全である証明として使用しない。</w:t>
      </w:r>
    </w:p>
    <w:p>
      <w:pPr>
        <w:pStyle w:val="Heading1"/>
        <w:spacing w:before="0" w:after="60"/>
      </w:pPr>
      <w:r>
        <w:rPr>
          <w:rFonts w:ascii="Noto Sans CJK JP" w:hAnsi="Noto Sans CJK JP" w:eastAsia="Noto Sans CJK JP"/>
          <w:b w:val="0"/>
          <w:sz w:val="18"/>
          <w:lang w:val="ja-JP" w:eastAsia="ja-JP"/>
        </w:rPr>
        <w:t>レビュー記録欄</w:t>
      </w:r>
    </w:p>
    <w:p>
      <w:pPr>
        <w:spacing w:after="0" w:before="0"/>
      </w:pPr>
      <w:r>
        <w:t xml:space="preserve">                                                                                                                        </w:t>
      </w:r>
    </w:p>
    <w:p>
      <w:pPr>
        <w:spacing w:after="0" w:before="0"/>
      </w:pPr>
      <w:r>
        <w:t xml:space="preserve">                                                                                                                        </w:t>
      </w:r>
    </w:p>
    <w:p>
      <w:pPr>
        <w:spacing w:after="0" w:before="0"/>
      </w:pPr>
      <w:r>
        <w:t xml:space="preserve">                                                                                                                        </w:t>
      </w:r>
    </w:p>
    <w:p>
      <w:pPr>
        <w:spacing w:after="0" w:before="0"/>
      </w:pPr>
      <w:r>
        <w:t xml:space="preserve">                                                                                                                        </w:t>
      </w:r>
    </w:p>
    <w:p>
      <w:pPr>
        <w:spacing w:after="0" w:before="0"/>
      </w:pPr>
      <w:r>
        <w:t xml:space="preserve">                                                                                                                        </w:t>
      </w:r>
    </w:p>
    <w:sectPr w:rsidR="00FC693F" w:rsidRPr="0006063C" w:rsidSect="00034616">
      <w:footerReference w:type="default" r:id="rId9"/>
      <w:pgSz w:w="11906" w:h="16838"/>
      <w:pgMar w:top="765" w:right="850" w:bottom="765" w:left="8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sz w:val="14"/>
      </w:rPr>
      <w:t>LUMINA-30 Boundary Kernel v1.2.1由来。帳票v1.0.1、2026年5月。この帳票は安全性を認証せず、PCR-Cを代替しません。</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Noto Sans CJK JP" w:hAnsi="Noto Sans CJK JP" w:eastAsia="Noto Sans CJK JP"/>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Noto Sans CJK JP" w:hAnsi="Noto Sans CJK JP"/>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Noto Sans CJK JP" w:hAnsi="Noto Sans CJK JP"/>
      <w:b/>
      <w:bCs/>
      <w:color w:val="4F81BD" w:themeColor="accent1"/>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